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1CFA4DC4"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DB2605">
        <w:rPr>
          <w:b/>
          <w:color w:val="000000" w:themeColor="text1"/>
          <w:sz w:val="24"/>
          <w:szCs w:val="24"/>
          <w:lang w:eastAsia="ko-KR"/>
        </w:rPr>
        <w:t>4</w:t>
      </w:r>
      <w:r w:rsidR="000725CE">
        <w:rPr>
          <w:b/>
          <w:color w:val="000000" w:themeColor="text1"/>
          <w:sz w:val="24"/>
          <w:szCs w:val="24"/>
          <w:lang w:eastAsia="ko-KR"/>
        </w:rPr>
        <w:t>bis</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852AD1">
        <w:rPr>
          <w:rFonts w:asciiTheme="minorEastAsia" w:eastAsiaTheme="minorEastAsia" w:hAnsiTheme="minorEastAsia"/>
          <w:b/>
          <w:color w:val="000000" w:themeColor="text1"/>
          <w:sz w:val="24"/>
          <w:szCs w:val="24"/>
          <w:lang w:eastAsia="ko-KR"/>
        </w:rPr>
        <w:t>1</w:t>
      </w:r>
      <w:r w:rsidR="00E0141E">
        <w:rPr>
          <w:rFonts w:asciiTheme="minorEastAsia" w:eastAsiaTheme="minorEastAsia" w:hAnsiTheme="minorEastAsia"/>
          <w:b/>
          <w:color w:val="000000" w:themeColor="text1"/>
          <w:sz w:val="24"/>
          <w:szCs w:val="24"/>
          <w:lang w:eastAsia="ko-KR"/>
        </w:rPr>
        <w:t>0</w:t>
      </w:r>
      <w:r w:rsidR="008C2DD1" w:rsidRPr="008C2DD1">
        <w:rPr>
          <w:rFonts w:asciiTheme="minorEastAsia" w:eastAsiaTheme="minorEastAsia" w:hAnsiTheme="minorEastAsia"/>
          <w:b/>
          <w:color w:val="000000" w:themeColor="text1"/>
          <w:sz w:val="24"/>
          <w:szCs w:val="24"/>
          <w:lang w:eastAsia="ko-KR"/>
        </w:rPr>
        <w:t>3330</w:t>
      </w:r>
      <w:bookmarkStart w:id="1" w:name="_GoBack"/>
      <w:bookmarkEnd w:id="1"/>
    </w:p>
    <w:bookmarkEnd w:id="0"/>
    <w:p w14:paraId="232823A7" w14:textId="28DD3548"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75267F">
        <w:rPr>
          <w:rFonts w:eastAsia="SimSun" w:cs="Arial"/>
          <w:b/>
          <w:bCs/>
          <w:color w:val="000000" w:themeColor="text1"/>
          <w:sz w:val="24"/>
          <w:szCs w:val="24"/>
          <w:lang w:eastAsia="zh-CN"/>
        </w:rPr>
        <w:t>April</w:t>
      </w:r>
      <w:r w:rsidR="00F76C3B" w:rsidRPr="00122191">
        <w:rPr>
          <w:rFonts w:eastAsia="SimSun" w:cs="Arial"/>
          <w:b/>
          <w:bCs/>
          <w:color w:val="000000" w:themeColor="text1"/>
          <w:sz w:val="24"/>
          <w:szCs w:val="24"/>
          <w:lang w:eastAsia="zh-CN"/>
        </w:rPr>
        <w:t xml:space="preserve"> </w:t>
      </w:r>
      <w:r w:rsidR="0075267F">
        <w:rPr>
          <w:rFonts w:eastAsia="SimSun" w:cs="Arial"/>
          <w:b/>
          <w:bCs/>
          <w:color w:val="000000" w:themeColor="text1"/>
          <w:sz w:val="24"/>
          <w:szCs w:val="24"/>
          <w:lang w:eastAsia="zh-CN"/>
        </w:rPr>
        <w:t>12</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75267F">
        <w:rPr>
          <w:rFonts w:eastAsia="SimSun" w:cs="Arial"/>
          <w:b/>
          <w:bCs/>
          <w:color w:val="000000" w:themeColor="text1"/>
          <w:sz w:val="24"/>
          <w:szCs w:val="24"/>
          <w:lang w:eastAsia="zh-CN"/>
        </w:rPr>
        <w:t>20</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4585A4C"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DF101C" w:rsidRPr="00AE1C98">
        <w:rPr>
          <w:rFonts w:ascii="Arial" w:eastAsia="SimSun" w:hAnsi="Arial" w:cs="Arial"/>
          <w:color w:val="000000" w:themeColor="text1"/>
          <w:sz w:val="24"/>
          <w:lang w:eastAsia="zh-CN"/>
        </w:rPr>
        <w:t xml:space="preserve">IAB </w:t>
      </w:r>
      <w:r w:rsidR="00D21483" w:rsidRPr="00AE1C98">
        <w:rPr>
          <w:rFonts w:ascii="Arial" w:eastAsia="SimSun" w:hAnsi="Arial" w:cs="Arial"/>
          <w:color w:val="000000" w:themeColor="text1"/>
          <w:sz w:val="24"/>
          <w:lang w:eastAsia="zh-CN"/>
        </w:rPr>
        <w:t>resource</w:t>
      </w:r>
      <w:r w:rsidR="00792E10" w:rsidRPr="00AE1C98">
        <w:rPr>
          <w:rFonts w:ascii="Arial" w:eastAsia="SimSun" w:hAnsi="Arial" w:cs="Arial"/>
          <w:color w:val="000000" w:themeColor="text1"/>
          <w:sz w:val="24"/>
          <w:lang w:eastAsia="zh-CN"/>
        </w:rPr>
        <w:t xml:space="preserve"> </w:t>
      </w:r>
      <w:r w:rsidR="00D21483" w:rsidRPr="00AE1C98">
        <w:rPr>
          <w:rFonts w:ascii="Arial" w:eastAsia="SimSun" w:hAnsi="Arial" w:cs="Arial"/>
          <w:color w:val="000000" w:themeColor="text1"/>
          <w:sz w:val="24"/>
          <w:lang w:eastAsia="zh-CN"/>
        </w:rPr>
        <w:t>multiplexing</w:t>
      </w:r>
      <w:r w:rsidR="00F01674" w:rsidRPr="00AE1C98">
        <w:rPr>
          <w:rFonts w:ascii="Arial" w:eastAsia="SimSun" w:hAnsi="Arial" w:cs="Arial"/>
          <w:color w:val="000000" w:themeColor="text1"/>
          <w:sz w:val="24"/>
          <w:lang w:eastAsia="zh-CN"/>
        </w:rPr>
        <w:t xml:space="preserve">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2E1EBA99" w:rsidR="00DB2605" w:rsidRPr="002D1C5B" w:rsidRDefault="009C67BF" w:rsidP="009C5BD7">
      <w:pPr>
        <w:pStyle w:val="maintext"/>
        <w:ind w:firstLine="440"/>
      </w:pPr>
      <w:r>
        <w:t>This contribution presents ETRI’s views on IAB resource multiplexing enhancements.</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4B5E50D7" w:rsidR="0078406A" w:rsidRDefault="00222C1D" w:rsidP="00947E6C">
      <w:pPr>
        <w:pStyle w:val="2"/>
        <w:spacing w:after="120"/>
      </w:pPr>
      <w:r>
        <w:rPr>
          <w:rFonts w:hint="eastAsia"/>
        </w:rPr>
        <w:t>D</w:t>
      </w:r>
      <w:r>
        <w:t>etails on resource multiplexing</w:t>
      </w:r>
      <w:r w:rsidR="00405901">
        <w:t xml:space="preserve"> for simultaneous operations</w:t>
      </w:r>
    </w:p>
    <w:p w14:paraId="1E649F11" w14:textId="1DD6BCFA" w:rsidR="0078406A" w:rsidRDefault="009A430B" w:rsidP="00E31EB4">
      <w:pPr>
        <w:pStyle w:val="maintext"/>
        <w:ind w:firstLine="440"/>
      </w:pPr>
      <w:bookmarkStart w:id="3" w:name="_Hlk61277188"/>
      <w:r>
        <w:rPr>
          <w:rFonts w:hint="eastAsia"/>
        </w:rPr>
        <w:t>T</w:t>
      </w:r>
      <w:r>
        <w:t>he following agreements and FFS points</w:t>
      </w:r>
      <w:r w:rsidR="00E31EB4">
        <w:t xml:space="preserve"> on IAB resource multiplexing</w:t>
      </w:r>
      <w:r>
        <w:t xml:space="preserve"> had bee</w:t>
      </w:r>
      <w:r w:rsidR="00FF700B">
        <w:t>n made in RAN1#10</w:t>
      </w:r>
      <w:r w:rsidR="00E13488">
        <w:t>4</w:t>
      </w:r>
      <w:r w:rsidR="00FF700B">
        <w:t>-e meeting</w:t>
      </w:r>
      <w:bookmarkEnd w:id="3"/>
      <w:r w:rsidR="008E29E9">
        <w:t xml:space="preserve"> </w:t>
      </w:r>
      <w:r w:rsidR="008E29E9">
        <w:fldChar w:fldCharType="begin"/>
      </w:r>
      <w:r w:rsidR="008E29E9">
        <w:instrText xml:space="preserve"> REF _Ref68252926 \r \h </w:instrText>
      </w:r>
      <w:r w:rsidR="008E29E9">
        <w:fldChar w:fldCharType="separate"/>
      </w:r>
      <w:r w:rsidR="008E29E9">
        <w:t>[2]</w:t>
      </w:r>
      <w:r w:rsidR="008E29E9">
        <w:fldChar w:fldCharType="end"/>
      </w:r>
      <w:r w:rsidR="00FF700B">
        <w:t>:</w:t>
      </w:r>
    </w:p>
    <w:p w14:paraId="6D66CE09" w14:textId="1EF0F804" w:rsidR="00C50387" w:rsidRDefault="00C50387" w:rsidP="00C50387">
      <w:pPr>
        <w:pStyle w:val="a8"/>
        <w:keepNext/>
        <w:spacing w:after="120"/>
      </w:pPr>
      <w:r>
        <w:t xml:space="preserve">Table </w:t>
      </w:r>
      <w:r w:rsidR="0082459F">
        <w:fldChar w:fldCharType="begin"/>
      </w:r>
      <w:r w:rsidR="0082459F">
        <w:instrText xml:space="preserve"> SEQ Table \* ARABIC </w:instrText>
      </w:r>
      <w:r w:rsidR="0082459F">
        <w:fldChar w:fldCharType="separate"/>
      </w:r>
      <w:r w:rsidR="000E1753">
        <w:rPr>
          <w:noProof/>
        </w:rPr>
        <w:t>1</w:t>
      </w:r>
      <w:r w:rsidR="0082459F">
        <w:rPr>
          <w:noProof/>
        </w:rPr>
        <w:fldChar w:fldCharType="end"/>
      </w:r>
      <w:r>
        <w:t>. Agreements from RAN1#10</w:t>
      </w:r>
      <w:r w:rsidR="00E13488">
        <w:t>4</w:t>
      </w:r>
      <w:r>
        <w:t>-e</w:t>
      </w:r>
    </w:p>
    <w:tbl>
      <w:tblPr>
        <w:tblStyle w:val="a6"/>
        <w:tblW w:w="0" w:type="auto"/>
        <w:tblLook w:val="04A0" w:firstRow="1" w:lastRow="0" w:firstColumn="1" w:lastColumn="0" w:noHBand="0" w:noVBand="1"/>
      </w:tblPr>
      <w:tblGrid>
        <w:gridCol w:w="9736"/>
      </w:tblGrid>
      <w:tr w:rsidR="00C21AD7" w:rsidRPr="00C21AD7" w14:paraId="27950333" w14:textId="77777777" w:rsidTr="00C21AD7">
        <w:tc>
          <w:tcPr>
            <w:tcW w:w="9736" w:type="dxa"/>
          </w:tcPr>
          <w:p w14:paraId="22065E52" w14:textId="77777777" w:rsidR="00DB184C" w:rsidRPr="00DB184C" w:rsidRDefault="00DB184C" w:rsidP="00DB184C">
            <w:pPr>
              <w:widowControl/>
              <w:wordWrap/>
              <w:autoSpaceDE/>
              <w:autoSpaceDN/>
              <w:spacing w:afterLines="0" w:after="0"/>
              <w:jc w:val="left"/>
              <w:rPr>
                <w:rFonts w:ascii="Times" w:eastAsia="Calibri" w:hAnsi="Times" w:cs="Times"/>
                <w:b/>
                <w:bCs/>
                <w:sz w:val="20"/>
                <w:szCs w:val="20"/>
                <w:highlight w:val="green"/>
                <w:lang w:val="en-GB" w:eastAsia="x-none"/>
              </w:rPr>
            </w:pPr>
            <w:bookmarkStart w:id="4" w:name="_Hlk68090821"/>
            <w:r w:rsidRPr="00DB184C">
              <w:rPr>
                <w:rFonts w:ascii="Times" w:eastAsia="Calibri" w:hAnsi="Times" w:cs="Times"/>
                <w:b/>
                <w:bCs/>
                <w:sz w:val="20"/>
                <w:szCs w:val="20"/>
                <w:highlight w:val="green"/>
                <w:lang w:val="en-GB" w:eastAsia="x-none"/>
              </w:rPr>
              <w:t>Agreement</w:t>
            </w:r>
          </w:p>
          <w:p w14:paraId="695D268F" w14:textId="77777777" w:rsidR="00DB184C" w:rsidRPr="00DB184C" w:rsidRDefault="00DB184C" w:rsidP="00DB184C">
            <w:pPr>
              <w:widowControl/>
              <w:wordWrap/>
              <w:autoSpaceDE/>
              <w:autoSpaceDN/>
              <w:spacing w:afterLines="0" w:after="0"/>
              <w:jc w:val="left"/>
              <w:rPr>
                <w:rFonts w:ascii="Times" w:eastAsia="Calibri" w:hAnsi="Times" w:cs="Times"/>
                <w:sz w:val="20"/>
                <w:szCs w:val="20"/>
                <w:lang w:val="en-GB" w:eastAsia="x-none"/>
              </w:rPr>
            </w:pPr>
            <w:r w:rsidRPr="00DB184C">
              <w:rPr>
                <w:rFonts w:ascii="Times" w:eastAsia="바탕" w:hAnsi="Times" w:cs="Times"/>
                <w:sz w:val="20"/>
                <w:szCs w:val="20"/>
                <w:lang w:val="en-GB"/>
              </w:rPr>
              <w:t>Support indication/reporting of information between an IAB node and its parent node to assist in the determination of</w:t>
            </w:r>
            <w:r w:rsidRPr="00DB184C">
              <w:rPr>
                <w:rFonts w:ascii="Times" w:eastAsia="Calibri" w:hAnsi="Times" w:cs="Times"/>
                <w:sz w:val="20"/>
                <w:szCs w:val="20"/>
                <w:lang w:val="en-GB" w:eastAsia="x-none"/>
              </w:rPr>
              <w:t xml:space="preserve"> the applicability of a given multiplexing capability in case of simultaneous operation. The following solutions are considered (other solutions not precluded):</w:t>
            </w:r>
          </w:p>
          <w:p w14:paraId="359D33B0"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Temporal applicability of a given multiplexing capability </w:t>
            </w:r>
          </w:p>
          <w:p w14:paraId="6AD4A474"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Time/frequency resource restrictions (e.g. access vs. backhaul links, DL vs. UL resources)</w:t>
            </w:r>
          </w:p>
          <w:p w14:paraId="7AB5D4D9"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Indications of conditions/reporting information required to realize the given multiplexing capability, (e.g. timing </w:t>
            </w:r>
            <w:r w:rsidRPr="00EC1615">
              <w:rPr>
                <w:rFonts w:ascii="Times" w:eastAsia="바탕" w:hAnsi="Times" w:cs="Times"/>
                <w:sz w:val="20"/>
                <w:szCs w:val="20"/>
                <w:lang w:val="en-GB"/>
              </w:rPr>
              <w:t>mode, power control,</w:t>
            </w:r>
            <w:r w:rsidRPr="00DB184C">
              <w:rPr>
                <w:rFonts w:ascii="Times" w:eastAsia="바탕" w:hAnsi="Times" w:cs="Times"/>
                <w:sz w:val="20"/>
                <w:szCs w:val="20"/>
                <w:lang w:val="en-GB"/>
              </w:rPr>
              <w:t xml:space="preserve"> guard symbols, etc.)</w:t>
            </w:r>
          </w:p>
          <w:p w14:paraId="2CB37973" w14:textId="77777777" w:rsidR="00DB184C" w:rsidRPr="00DB184C" w:rsidRDefault="00DB184C" w:rsidP="00DB184C">
            <w:pPr>
              <w:widowControl/>
              <w:wordWrap/>
              <w:autoSpaceDE/>
              <w:autoSpaceDN/>
              <w:spacing w:afterLines="0" w:after="0"/>
              <w:contextualSpacing/>
              <w:rPr>
                <w:rFonts w:ascii="Times" w:eastAsia="Calibri" w:hAnsi="Times" w:cs="Times"/>
                <w:sz w:val="20"/>
                <w:szCs w:val="20"/>
                <w:lang w:val="en-GB" w:eastAsia="x-none"/>
              </w:rPr>
            </w:pPr>
            <w:r w:rsidRPr="00DB184C">
              <w:rPr>
                <w:rFonts w:ascii="Times" w:eastAsia="Calibri" w:hAnsi="Times" w:cs="Times"/>
                <w:sz w:val="20"/>
                <w:szCs w:val="20"/>
                <w:lang w:val="en-GB" w:eastAsia="x-none"/>
              </w:rPr>
              <w:t>FFS: channels/signals used for indicating/reporting information</w:t>
            </w:r>
          </w:p>
          <w:p w14:paraId="7C470AEA" w14:textId="77777777" w:rsidR="00DB184C" w:rsidRPr="00DB184C" w:rsidRDefault="00DB184C" w:rsidP="00DB184C">
            <w:pPr>
              <w:widowControl/>
              <w:wordWrap/>
              <w:autoSpaceDE/>
              <w:autoSpaceDN/>
              <w:spacing w:afterLines="0" w:after="0"/>
              <w:contextualSpacing/>
              <w:rPr>
                <w:rFonts w:ascii="Times" w:eastAsia="Calibri" w:hAnsi="Times" w:cs="Times"/>
                <w:b/>
                <w:bCs/>
                <w:sz w:val="20"/>
                <w:szCs w:val="24"/>
                <w:lang w:val="en-GB" w:eastAsia="x-none"/>
              </w:rPr>
            </w:pPr>
          </w:p>
          <w:p w14:paraId="4C7AA08D" w14:textId="77777777" w:rsidR="00DB184C" w:rsidRPr="00DB184C" w:rsidRDefault="00DB184C" w:rsidP="00DB184C">
            <w:pPr>
              <w:widowControl/>
              <w:wordWrap/>
              <w:autoSpaceDE/>
              <w:autoSpaceDN/>
              <w:spacing w:afterLines="0" w:after="0"/>
              <w:jc w:val="left"/>
              <w:rPr>
                <w:rFonts w:ascii="Times" w:eastAsia="바탕" w:hAnsi="Times" w:cs="Times"/>
                <w:b/>
                <w:bCs/>
                <w:color w:val="000000"/>
                <w:sz w:val="20"/>
                <w:szCs w:val="24"/>
                <w:lang w:val="en-GB" w:eastAsia="en-US"/>
              </w:rPr>
            </w:pPr>
            <w:r w:rsidRPr="00DB184C">
              <w:rPr>
                <w:rFonts w:ascii="Times" w:eastAsia="바탕" w:hAnsi="Times" w:cs="Times"/>
                <w:b/>
                <w:bCs/>
                <w:sz w:val="20"/>
                <w:szCs w:val="20"/>
                <w:highlight w:val="green"/>
                <w:lang w:val="en-GB"/>
              </w:rPr>
              <w:t>Agreement</w:t>
            </w:r>
          </w:p>
          <w:p w14:paraId="176E30A5" w14:textId="77777777" w:rsidR="00DB184C" w:rsidRPr="00DB184C" w:rsidRDefault="00DB184C" w:rsidP="00DB184C">
            <w:pPr>
              <w:widowControl/>
              <w:wordWrap/>
              <w:autoSpaceDE/>
              <w:autoSpaceDN/>
              <w:spacing w:afterLines="0" w:after="0"/>
              <w:jc w:val="left"/>
              <w:rPr>
                <w:rFonts w:ascii="Times" w:eastAsia="바탕" w:hAnsi="Times" w:cs="Times"/>
                <w:sz w:val="20"/>
                <w:szCs w:val="24"/>
                <w:lang w:val="en-GB"/>
              </w:rPr>
            </w:pPr>
            <w:r w:rsidRPr="00DB184C">
              <w:rPr>
                <w:rFonts w:ascii="Times" w:eastAsia="바탕" w:hAnsi="Times" w:cs="Times"/>
                <w:sz w:val="20"/>
                <w:szCs w:val="20"/>
                <w:lang w:val="en-GB"/>
              </w:rPr>
              <w:t xml:space="preserve">Further study whether/how to manage </w:t>
            </w:r>
            <w:r w:rsidRPr="00EC1615">
              <w:rPr>
                <w:rFonts w:ascii="Times" w:eastAsia="바탕" w:hAnsi="Times" w:cs="Times"/>
                <w:sz w:val="20"/>
                <w:szCs w:val="20"/>
                <w:lang w:val="en-GB"/>
              </w:rPr>
              <w:t>resources in the spatial domain.</w:t>
            </w:r>
            <w:r w:rsidRPr="00DB184C">
              <w:rPr>
                <w:rFonts w:ascii="Times" w:eastAsia="바탕" w:hAnsi="Times" w:cs="Times"/>
                <w:sz w:val="20"/>
                <w:szCs w:val="20"/>
                <w:lang w:val="en-GB"/>
              </w:rPr>
              <w:t xml:space="preserve"> Candidate solutions are:</w:t>
            </w:r>
          </w:p>
          <w:p w14:paraId="794CE13C"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Dynamic </w:t>
            </w:r>
            <w:proofErr w:type="spellStart"/>
            <w:r w:rsidRPr="00DB184C">
              <w:rPr>
                <w:rFonts w:ascii="Times" w:eastAsia="바탕" w:hAnsi="Times" w:cs="Times"/>
                <w:sz w:val="20"/>
                <w:szCs w:val="20"/>
                <w:lang w:val="en-GB"/>
              </w:rPr>
              <w:t>signaling</w:t>
            </w:r>
            <w:proofErr w:type="spellEnd"/>
            <w:r w:rsidRPr="00DB184C">
              <w:rPr>
                <w:rFonts w:ascii="Times" w:eastAsia="바탕" w:hAnsi="Times" w:cs="Times"/>
                <w:sz w:val="20"/>
                <w:szCs w:val="20"/>
                <w:lang w:val="en-GB"/>
              </w:rPr>
              <w:t xml:space="preserve"> between parent and child nodes for using/restricting/sharing antenna panels/beams</w:t>
            </w:r>
          </w:p>
          <w:p w14:paraId="1569BCF3"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Beam management / multi-panel enhancements for simultaneous operations</w:t>
            </w:r>
          </w:p>
          <w:p w14:paraId="14827D63"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Extension of H/S/NA resource indication to the spatial domain</w:t>
            </w:r>
          </w:p>
          <w:p w14:paraId="6D1100E6" w14:textId="77777777" w:rsidR="00DB184C" w:rsidRPr="00DB184C" w:rsidRDefault="00DB184C" w:rsidP="00DB184C">
            <w:pPr>
              <w:widowControl/>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Other solutions are not precluded.</w:t>
            </w:r>
          </w:p>
          <w:p w14:paraId="55B3EAED" w14:textId="77777777" w:rsidR="000150B3" w:rsidRPr="00DB184C" w:rsidRDefault="000150B3" w:rsidP="000150B3">
            <w:pPr>
              <w:widowControl/>
              <w:wordWrap/>
              <w:autoSpaceDE/>
              <w:autoSpaceDN/>
              <w:spacing w:afterLines="0" w:after="0"/>
              <w:contextualSpacing/>
              <w:jc w:val="left"/>
              <w:textAlignment w:val="baseline"/>
              <w:rPr>
                <w:rFonts w:eastAsia="Calibri" w:cs="Times"/>
                <w:color w:val="000000"/>
                <w:szCs w:val="24"/>
                <w:highlight w:val="yellow"/>
                <w:lang w:val="en-GB" w:eastAsia="x-none"/>
              </w:rPr>
            </w:pPr>
          </w:p>
          <w:p w14:paraId="456C77B8" w14:textId="77777777" w:rsidR="00DB184C" w:rsidRPr="00DB184C" w:rsidRDefault="00DB184C" w:rsidP="00DB184C">
            <w:pPr>
              <w:widowControl/>
              <w:wordWrap/>
              <w:autoSpaceDE/>
              <w:autoSpaceDN/>
              <w:spacing w:afterLines="0" w:after="0"/>
              <w:contextualSpacing/>
              <w:rPr>
                <w:rFonts w:ascii="Times" w:eastAsia="Calibri" w:hAnsi="Times" w:cs="Times"/>
                <w:b/>
                <w:bCs/>
                <w:sz w:val="20"/>
                <w:szCs w:val="20"/>
                <w:highlight w:val="green"/>
                <w:lang w:val="en-GB" w:eastAsia="x-none"/>
              </w:rPr>
            </w:pPr>
            <w:r w:rsidRPr="00DB184C">
              <w:rPr>
                <w:rFonts w:ascii="Times" w:eastAsia="Calibri" w:hAnsi="Times" w:cs="Times"/>
                <w:b/>
                <w:bCs/>
                <w:sz w:val="20"/>
                <w:szCs w:val="20"/>
                <w:highlight w:val="green"/>
                <w:lang w:val="en-GB" w:eastAsia="x-none"/>
              </w:rPr>
              <w:t>Agreement</w:t>
            </w:r>
          </w:p>
          <w:p w14:paraId="6D39B099" w14:textId="77777777" w:rsidR="00DB184C" w:rsidRPr="00DB184C" w:rsidRDefault="00DB184C" w:rsidP="00DB184C">
            <w:pPr>
              <w:widowControl/>
              <w:wordWrap/>
              <w:autoSpaceDE/>
              <w:autoSpaceDN/>
              <w:spacing w:afterLines="0" w:after="0"/>
              <w:jc w:val="left"/>
              <w:rPr>
                <w:rFonts w:ascii="Times" w:eastAsia="Calibri" w:hAnsi="Times" w:cs="Times"/>
                <w:bCs/>
                <w:sz w:val="20"/>
                <w:szCs w:val="20"/>
                <w:lang w:val="en-GB" w:eastAsia="en-US"/>
              </w:rPr>
            </w:pPr>
            <w:r w:rsidRPr="00DB184C">
              <w:rPr>
                <w:rFonts w:ascii="Times" w:eastAsia="Calibri" w:hAnsi="Times" w:cs="Times"/>
                <w:bCs/>
                <w:sz w:val="20"/>
                <w:szCs w:val="20"/>
                <w:lang w:val="en-GB" w:eastAsia="en-U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5938C6DB"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Granularity for frequency domain resources within a carrier (starting point is a set of </w:t>
            </w:r>
            <w:proofErr w:type="gramStart"/>
            <w:r w:rsidRPr="00DB184C">
              <w:rPr>
                <w:rFonts w:ascii="Times" w:eastAsia="바탕" w:hAnsi="Times" w:cs="Times"/>
                <w:sz w:val="20"/>
                <w:szCs w:val="20"/>
                <w:lang w:val="en-GB"/>
              </w:rPr>
              <w:t>N</w:t>
            </w:r>
            <w:proofErr w:type="gramEnd"/>
            <w:r w:rsidRPr="00DB184C">
              <w:rPr>
                <w:rFonts w:ascii="Times" w:eastAsia="바탕" w:hAnsi="Times" w:cs="Times"/>
                <w:sz w:val="20"/>
                <w:szCs w:val="20"/>
                <w:lang w:val="en-GB"/>
              </w:rPr>
              <w:t xml:space="preserve"> RBs with FFS: value of N &gt;=1)</w:t>
            </w:r>
          </w:p>
          <w:p w14:paraId="7231A156"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75076204"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In case frequency-domain extension is supported for soft resources, enhancements for DCI format 2_5 to support dynamic indication of availability for soft frequency resources. </w:t>
            </w:r>
          </w:p>
          <w:p w14:paraId="3748245F" w14:textId="77777777" w:rsidR="00DB184C" w:rsidRPr="00DB184C" w:rsidRDefault="00DB184C" w:rsidP="00DB184C">
            <w:pPr>
              <w:widowControl/>
              <w:numPr>
                <w:ilvl w:val="1"/>
                <w:numId w:val="18"/>
              </w:numPr>
              <w:wordWrap/>
              <w:autoSpaceDE/>
              <w:autoSpaceDN/>
              <w:spacing w:afterLines="0" w:after="0"/>
              <w:contextualSpacing/>
              <w:jc w:val="left"/>
              <w:rPr>
                <w:rFonts w:ascii="Times" w:eastAsia="Calibri" w:hAnsi="Times" w:cs="Times"/>
                <w:bCs/>
                <w:sz w:val="20"/>
                <w:szCs w:val="20"/>
                <w:lang w:val="en-GB" w:eastAsia="x-none"/>
              </w:rPr>
            </w:pPr>
            <w:r w:rsidRPr="00DB184C">
              <w:rPr>
                <w:rFonts w:ascii="Times" w:eastAsia="Calibri" w:hAnsi="Times" w:cs="Times"/>
                <w:bCs/>
                <w:sz w:val="20"/>
                <w:szCs w:val="20"/>
                <w:lang w:val="en-GB" w:eastAsia="x-none"/>
              </w:rPr>
              <w:t xml:space="preserve">Alt. 1 Separate indication of time and frequency resources </w:t>
            </w:r>
          </w:p>
          <w:p w14:paraId="65A82029" w14:textId="77777777" w:rsidR="00DB184C" w:rsidRPr="00DB184C" w:rsidRDefault="00DB184C" w:rsidP="00DB184C">
            <w:pPr>
              <w:widowControl/>
              <w:numPr>
                <w:ilvl w:val="2"/>
                <w:numId w:val="18"/>
              </w:numPr>
              <w:wordWrap/>
              <w:autoSpaceDE/>
              <w:autoSpaceDN/>
              <w:spacing w:afterLines="0" w:after="0"/>
              <w:contextualSpacing/>
              <w:jc w:val="left"/>
              <w:rPr>
                <w:rFonts w:ascii="Times" w:eastAsia="Calibri" w:hAnsi="Times" w:cs="Times"/>
                <w:bCs/>
                <w:sz w:val="20"/>
                <w:szCs w:val="20"/>
                <w:lang w:val="en-GB" w:eastAsia="x-none"/>
              </w:rPr>
            </w:pPr>
            <w:r w:rsidRPr="00DB184C">
              <w:rPr>
                <w:rFonts w:ascii="Times" w:eastAsia="Calibri" w:hAnsi="Times" w:cs="Times"/>
                <w:bCs/>
                <w:sz w:val="20"/>
                <w:szCs w:val="20"/>
                <w:lang w:val="en-GB" w:eastAsia="x-none"/>
              </w:rPr>
              <w:t>FFS: different field, RNTI or different DCI</w:t>
            </w:r>
          </w:p>
          <w:p w14:paraId="7DE6A1F4" w14:textId="77777777" w:rsidR="00DB184C" w:rsidRPr="00DB184C" w:rsidRDefault="00DB184C" w:rsidP="00DB184C">
            <w:pPr>
              <w:widowControl/>
              <w:numPr>
                <w:ilvl w:val="1"/>
                <w:numId w:val="18"/>
              </w:numPr>
              <w:wordWrap/>
              <w:autoSpaceDE/>
              <w:autoSpaceDN/>
              <w:spacing w:afterLines="0" w:after="0"/>
              <w:contextualSpacing/>
              <w:jc w:val="left"/>
              <w:rPr>
                <w:rFonts w:ascii="Times" w:eastAsia="Calibri" w:hAnsi="Times" w:cs="Times"/>
                <w:bCs/>
                <w:sz w:val="20"/>
                <w:szCs w:val="20"/>
                <w:lang w:val="en-GB" w:eastAsia="x-none"/>
              </w:rPr>
            </w:pPr>
            <w:r w:rsidRPr="00DB184C">
              <w:rPr>
                <w:rFonts w:ascii="Times" w:eastAsia="Calibri" w:hAnsi="Times" w:cs="Times"/>
                <w:bCs/>
                <w:sz w:val="20"/>
                <w:szCs w:val="20"/>
                <w:lang w:val="en-GB" w:eastAsia="x-none"/>
              </w:rPr>
              <w:t xml:space="preserve">Alt. 2 Joint indication of time and frequency resources </w:t>
            </w:r>
          </w:p>
          <w:p w14:paraId="13DFFE69" w14:textId="77777777" w:rsidR="00DB184C" w:rsidRPr="00DB184C" w:rsidRDefault="00DB184C" w:rsidP="00DB184C">
            <w:pPr>
              <w:widowControl/>
              <w:numPr>
                <w:ilvl w:val="2"/>
                <w:numId w:val="18"/>
              </w:numPr>
              <w:wordWrap/>
              <w:autoSpaceDE/>
              <w:autoSpaceDN/>
              <w:spacing w:afterLines="0" w:after="0"/>
              <w:contextualSpacing/>
              <w:jc w:val="left"/>
              <w:rPr>
                <w:rFonts w:ascii="Times" w:eastAsia="Calibri" w:hAnsi="Times" w:cs="Times"/>
                <w:bCs/>
                <w:sz w:val="20"/>
                <w:szCs w:val="20"/>
                <w:lang w:val="en-GB" w:eastAsia="x-none"/>
              </w:rPr>
            </w:pPr>
            <w:r w:rsidRPr="00DB184C">
              <w:rPr>
                <w:rFonts w:ascii="Times" w:eastAsia="Calibri" w:hAnsi="Times" w:cs="Times"/>
                <w:bCs/>
                <w:sz w:val="20"/>
                <w:szCs w:val="20"/>
                <w:lang w:val="en-GB" w:eastAsia="x-none"/>
              </w:rPr>
              <w:t>FFS: backwards compatibility with Rel-16</w:t>
            </w:r>
          </w:p>
          <w:p w14:paraId="132FC3DC"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Extension of FDM across carriers</w:t>
            </w:r>
          </w:p>
          <w:p w14:paraId="1D4CD506" w14:textId="461B954B" w:rsidR="000150B3" w:rsidRPr="00306204" w:rsidRDefault="00DB184C" w:rsidP="00306204">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lastRenderedPageBreak/>
              <w:t>FFS: Restrictions on band/minimum bandwidth for FDM operation (e.g. FR2 100MHz+ etc.)</w:t>
            </w:r>
          </w:p>
        </w:tc>
      </w:tr>
      <w:bookmarkEnd w:id="4"/>
    </w:tbl>
    <w:p w14:paraId="08D0F4AB" w14:textId="77777777" w:rsidR="00632B32" w:rsidRDefault="00632B32" w:rsidP="004437DB">
      <w:pPr>
        <w:pStyle w:val="maintext"/>
        <w:ind w:firstLine="440"/>
      </w:pPr>
    </w:p>
    <w:p w14:paraId="4AD1925C" w14:textId="1D9A8B71" w:rsidR="00840B16" w:rsidRPr="004437DB" w:rsidRDefault="000C788A" w:rsidP="004437DB">
      <w:pPr>
        <w:pStyle w:val="maintext"/>
        <w:ind w:firstLine="440"/>
      </w:pPr>
      <w:r>
        <w:rPr>
          <w:rFonts w:hint="eastAsia"/>
        </w:rPr>
        <w:t>A</w:t>
      </w:r>
      <w:r>
        <w:t>lthough</w:t>
      </w:r>
      <w:r w:rsidR="00F651FB">
        <w:t xml:space="preserve"> RAN1 specifications do not support any specific IAB-DU/MT </w:t>
      </w:r>
      <w:proofErr w:type="spellStart"/>
      <w:r w:rsidR="00F651FB">
        <w:t>behaviors</w:t>
      </w:r>
      <w:proofErr w:type="spellEnd"/>
      <w:r w:rsidR="00F651FB">
        <w:t xml:space="preserve"> for simultaneous operation in Rel-16, TS38.473 has clarified a capability </w:t>
      </w:r>
      <w:proofErr w:type="spellStart"/>
      <w:r w:rsidR="00F651FB">
        <w:t>signaling</w:t>
      </w:r>
      <w:proofErr w:type="spellEnd"/>
      <w:r w:rsidR="00F651FB">
        <w:t xml:space="preserve"> to indicate which types of simultaneous operations can be supported by the IAB-node</w:t>
      </w:r>
      <w:r w:rsidR="00B122B9">
        <w:t xml:space="preserve"> </w:t>
      </w:r>
      <w:r w:rsidR="00B122B9">
        <w:fldChar w:fldCharType="begin"/>
      </w:r>
      <w:r w:rsidR="00B122B9">
        <w:instrText xml:space="preserve"> REF _Ref61256440 \r \h </w:instrText>
      </w:r>
      <w:r w:rsidR="00B122B9">
        <w:fldChar w:fldCharType="separate"/>
      </w:r>
      <w:r w:rsidR="008E29E9">
        <w:t>[3]</w:t>
      </w:r>
      <w:r w:rsidR="00B122B9">
        <w:fldChar w:fldCharType="end"/>
      </w:r>
      <w:r w:rsidR="00F651FB">
        <w:t xml:space="preserve">. As captured by </w:t>
      </w:r>
      <w:r w:rsidR="0084208B">
        <w:fldChar w:fldCharType="begin"/>
      </w:r>
      <w:r w:rsidR="0084208B">
        <w:instrText xml:space="preserve"> REF _Ref61256963 \h </w:instrText>
      </w:r>
      <w:r w:rsidR="0084208B">
        <w:fldChar w:fldCharType="separate"/>
      </w:r>
      <w:r w:rsidR="008E29E9">
        <w:t xml:space="preserve">Table </w:t>
      </w:r>
      <w:r w:rsidR="008E29E9">
        <w:rPr>
          <w:noProof/>
        </w:rPr>
        <w:t>2</w:t>
      </w:r>
      <w:r w:rsidR="0084208B">
        <w:fldChar w:fldCharType="end"/>
      </w:r>
      <w:r w:rsidR="0084208B">
        <w:t xml:space="preserve">, multiplexing capabilities between the </w:t>
      </w:r>
      <w:proofErr w:type="spellStart"/>
      <w:r w:rsidR="0084208B">
        <w:t>gNB</w:t>
      </w:r>
      <w:proofErr w:type="spellEnd"/>
      <w:r w:rsidR="0084208B">
        <w:t xml:space="preserve">-DU’s cell and the cells configured on the collocated IAB-MT can be reported “per </w:t>
      </w:r>
      <w:r w:rsidR="00236B9F">
        <w:t xml:space="preserve">IAB-MT </w:t>
      </w:r>
      <w:r w:rsidR="0084208B">
        <w:t>cell”.</w:t>
      </w:r>
      <w:r w:rsidR="001F47A5">
        <w:t xml:space="preserve"> </w:t>
      </w:r>
    </w:p>
    <w:p w14:paraId="3F4A1830" w14:textId="188EACE0" w:rsidR="00F651FB" w:rsidRDefault="00F651FB" w:rsidP="00BE59F3">
      <w:pPr>
        <w:spacing w:after="120"/>
      </w:pPr>
    </w:p>
    <w:p w14:paraId="27BC9BFE" w14:textId="63EEB204" w:rsidR="00C50387" w:rsidRDefault="00C50387" w:rsidP="00C50387">
      <w:pPr>
        <w:pStyle w:val="a8"/>
        <w:keepNext/>
        <w:spacing w:after="120"/>
      </w:pPr>
      <w:bookmarkStart w:id="5" w:name="_Ref61256963"/>
      <w:r>
        <w:t xml:space="preserve">Table </w:t>
      </w:r>
      <w:r w:rsidR="0082459F">
        <w:fldChar w:fldCharType="begin"/>
      </w:r>
      <w:r w:rsidR="0082459F">
        <w:instrText xml:space="preserve"> SEQ Table \* ARABIC </w:instrText>
      </w:r>
      <w:r w:rsidR="0082459F">
        <w:fldChar w:fldCharType="separate"/>
      </w:r>
      <w:r w:rsidR="000E1753">
        <w:rPr>
          <w:noProof/>
        </w:rPr>
        <w:t>2</w:t>
      </w:r>
      <w:r w:rsidR="0082459F">
        <w:rPr>
          <w:noProof/>
        </w:rPr>
        <w:fldChar w:fldCharType="end"/>
      </w:r>
      <w:bookmarkEnd w:id="5"/>
      <w:r>
        <w:t>. Multiplexing Info IE in subclause 9.3.1.108 of TS38.473</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50387" w:rsidRPr="00C50387" w14:paraId="630F1198" w14:textId="77777777" w:rsidTr="00D37BDF">
        <w:trPr>
          <w:jc w:val="center"/>
        </w:trPr>
        <w:tc>
          <w:tcPr>
            <w:tcW w:w="2448" w:type="dxa"/>
          </w:tcPr>
          <w:p w14:paraId="408B2744"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IE/Group Name</w:t>
            </w:r>
          </w:p>
        </w:tc>
        <w:tc>
          <w:tcPr>
            <w:tcW w:w="1080" w:type="dxa"/>
          </w:tcPr>
          <w:p w14:paraId="356E20B7"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Presence</w:t>
            </w:r>
          </w:p>
        </w:tc>
        <w:tc>
          <w:tcPr>
            <w:tcW w:w="1440" w:type="dxa"/>
          </w:tcPr>
          <w:p w14:paraId="5CE9CB1E"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Range</w:t>
            </w:r>
          </w:p>
        </w:tc>
        <w:tc>
          <w:tcPr>
            <w:tcW w:w="1872" w:type="dxa"/>
          </w:tcPr>
          <w:p w14:paraId="10223869"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IE type and reference</w:t>
            </w:r>
          </w:p>
        </w:tc>
        <w:tc>
          <w:tcPr>
            <w:tcW w:w="2880" w:type="dxa"/>
          </w:tcPr>
          <w:p w14:paraId="0BDAC6F3"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Semantics description</w:t>
            </w:r>
          </w:p>
        </w:tc>
      </w:tr>
      <w:tr w:rsidR="00C50387" w:rsidRPr="00C50387" w14:paraId="796F8A24" w14:textId="77777777" w:rsidTr="00D37BDF">
        <w:trPr>
          <w:jc w:val="center"/>
        </w:trPr>
        <w:tc>
          <w:tcPr>
            <w:tcW w:w="2448" w:type="dxa"/>
          </w:tcPr>
          <w:p w14:paraId="5422F2B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cs="Arial"/>
                <w:b/>
                <w:kern w:val="0"/>
                <w:sz w:val="18"/>
                <w:szCs w:val="18"/>
                <w:lang w:val="en-GB" w:eastAsia="ja-JP"/>
              </w:rPr>
            </w:pPr>
            <w:r w:rsidRPr="00C50387">
              <w:rPr>
                <w:rFonts w:ascii="Arial" w:eastAsia="Times New Roman" w:hAnsi="Arial" w:cs="Arial"/>
                <w:b/>
                <w:kern w:val="0"/>
                <w:sz w:val="18"/>
                <w:szCs w:val="18"/>
                <w:lang w:val="en-GB" w:eastAsia="ja-JP"/>
              </w:rPr>
              <w:t>IAB-MT Cell List</w:t>
            </w:r>
          </w:p>
        </w:tc>
        <w:tc>
          <w:tcPr>
            <w:tcW w:w="1080" w:type="dxa"/>
          </w:tcPr>
          <w:p w14:paraId="5BC587E1"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440" w:type="dxa"/>
          </w:tcPr>
          <w:p w14:paraId="43FAAE2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i/>
                <w:kern w:val="0"/>
                <w:sz w:val="18"/>
                <w:szCs w:val="20"/>
                <w:lang w:val="en-GB" w:eastAsia="ja-JP"/>
              </w:rPr>
            </w:pPr>
            <w:r w:rsidRPr="00C50387">
              <w:rPr>
                <w:rFonts w:ascii="Arial" w:eastAsia="Times New Roman" w:hAnsi="Arial"/>
                <w:i/>
                <w:kern w:val="0"/>
                <w:sz w:val="18"/>
                <w:szCs w:val="20"/>
                <w:lang w:val="en-GB" w:eastAsia="ja-JP"/>
              </w:rPr>
              <w:t>1</w:t>
            </w:r>
          </w:p>
        </w:tc>
        <w:tc>
          <w:tcPr>
            <w:tcW w:w="1872" w:type="dxa"/>
          </w:tcPr>
          <w:p w14:paraId="02F92D0D"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2880" w:type="dxa"/>
          </w:tcPr>
          <w:p w14:paraId="2C41F56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r>
      <w:tr w:rsidR="00C50387" w:rsidRPr="00C50387" w14:paraId="0DDB502F" w14:textId="77777777" w:rsidTr="00D37BDF">
        <w:trPr>
          <w:jc w:val="center"/>
        </w:trPr>
        <w:tc>
          <w:tcPr>
            <w:tcW w:w="2448" w:type="dxa"/>
          </w:tcPr>
          <w:p w14:paraId="47137A3E" w14:textId="77777777" w:rsidR="00C50387" w:rsidRPr="00C50387" w:rsidRDefault="00C50387" w:rsidP="00C50387">
            <w:pPr>
              <w:keepNext/>
              <w:keepLines/>
              <w:widowControl/>
              <w:wordWrap/>
              <w:overflowPunct w:val="0"/>
              <w:adjustRightInd w:val="0"/>
              <w:spacing w:afterLines="0" w:after="120"/>
              <w:ind w:left="100"/>
              <w:jc w:val="left"/>
              <w:textAlignment w:val="baseline"/>
              <w:rPr>
                <w:rFonts w:ascii="Arial" w:eastAsia="Times New Roman" w:hAnsi="Arial" w:cs="Arial"/>
                <w:b/>
                <w:kern w:val="0"/>
                <w:sz w:val="18"/>
                <w:szCs w:val="18"/>
                <w:lang w:val="en-GB" w:eastAsia="ja-JP"/>
              </w:rPr>
            </w:pPr>
            <w:r w:rsidRPr="00C50387">
              <w:rPr>
                <w:rFonts w:ascii="Arial" w:eastAsia="Times New Roman" w:hAnsi="Arial" w:cs="Arial"/>
                <w:b/>
                <w:kern w:val="0"/>
                <w:sz w:val="18"/>
                <w:szCs w:val="18"/>
                <w:lang w:val="en-GB" w:eastAsia="ja-JP"/>
              </w:rPr>
              <w:t>&gt;IAB-MT Cell Item</w:t>
            </w:r>
          </w:p>
        </w:tc>
        <w:tc>
          <w:tcPr>
            <w:tcW w:w="1080" w:type="dxa"/>
          </w:tcPr>
          <w:p w14:paraId="51457D68"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440" w:type="dxa"/>
          </w:tcPr>
          <w:p w14:paraId="71E8D34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i/>
                <w:kern w:val="0"/>
                <w:sz w:val="18"/>
                <w:szCs w:val="20"/>
                <w:lang w:val="en-GB" w:eastAsia="ja-JP"/>
              </w:rPr>
              <w:t>1</w:t>
            </w:r>
            <w:proofErr w:type="gramStart"/>
            <w:r w:rsidRPr="00C50387">
              <w:rPr>
                <w:rFonts w:ascii="Arial" w:eastAsia="Times New Roman" w:hAnsi="Arial"/>
                <w:kern w:val="0"/>
                <w:sz w:val="18"/>
                <w:szCs w:val="20"/>
                <w:lang w:val="en-GB" w:eastAsia="ja-JP"/>
              </w:rPr>
              <w:t xml:space="preserve"> ..</w:t>
            </w:r>
            <w:proofErr w:type="gramEnd"/>
            <w:r w:rsidRPr="00C50387">
              <w:rPr>
                <w:rFonts w:ascii="Arial" w:eastAsia="Times New Roman" w:hAnsi="Arial"/>
                <w:kern w:val="0"/>
                <w:sz w:val="18"/>
                <w:szCs w:val="20"/>
                <w:lang w:val="en-GB" w:eastAsia="ja-JP"/>
              </w:rPr>
              <w:t xml:space="preserve"> &lt;</w:t>
            </w:r>
            <w:proofErr w:type="spellStart"/>
            <w:r w:rsidRPr="00C50387">
              <w:rPr>
                <w:rFonts w:ascii="Arial" w:eastAsia="Times New Roman" w:hAnsi="Arial"/>
                <w:i/>
                <w:iCs/>
                <w:kern w:val="0"/>
                <w:sz w:val="18"/>
                <w:szCs w:val="20"/>
                <w:lang w:val="en-GB" w:eastAsia="ja-JP"/>
              </w:rPr>
              <w:t>maxnoofServingCells</w:t>
            </w:r>
            <w:proofErr w:type="spellEnd"/>
            <w:r w:rsidRPr="00C50387">
              <w:rPr>
                <w:rFonts w:ascii="Arial" w:eastAsia="Times New Roman" w:hAnsi="Arial"/>
                <w:kern w:val="0"/>
                <w:sz w:val="18"/>
                <w:szCs w:val="20"/>
                <w:lang w:val="en-GB" w:eastAsia="ja-JP"/>
              </w:rPr>
              <w:t>&gt;</w:t>
            </w:r>
          </w:p>
        </w:tc>
        <w:tc>
          <w:tcPr>
            <w:tcW w:w="1872" w:type="dxa"/>
          </w:tcPr>
          <w:p w14:paraId="0BFF069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2880" w:type="dxa"/>
          </w:tcPr>
          <w:p w14:paraId="51ADA68D"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r>
      <w:tr w:rsidR="00C50387" w:rsidRPr="00C50387" w14:paraId="139D797C" w14:textId="77777777" w:rsidTr="00D37BDF">
        <w:trPr>
          <w:jc w:val="center"/>
        </w:trPr>
        <w:tc>
          <w:tcPr>
            <w:tcW w:w="2448" w:type="dxa"/>
          </w:tcPr>
          <w:p w14:paraId="319FD033"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&gt;&gt;NR Cell Identity</w:t>
            </w:r>
          </w:p>
        </w:tc>
        <w:tc>
          <w:tcPr>
            <w:tcW w:w="1080" w:type="dxa"/>
          </w:tcPr>
          <w:p w14:paraId="5B03060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1E0BEC2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4A7050D1"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BIT STRING (</w:t>
            </w:r>
            <w:proofErr w:type="gramStart"/>
            <w:r w:rsidRPr="00C50387">
              <w:rPr>
                <w:rFonts w:ascii="Arial" w:eastAsia="Times New Roman" w:hAnsi="Arial"/>
                <w:kern w:val="0"/>
                <w:sz w:val="18"/>
                <w:szCs w:val="20"/>
                <w:lang w:val="en-GB" w:eastAsia="ja-JP"/>
              </w:rPr>
              <w:t>SIZE(</w:t>
            </w:r>
            <w:proofErr w:type="gramEnd"/>
            <w:r w:rsidRPr="00C50387">
              <w:rPr>
                <w:rFonts w:ascii="Arial" w:eastAsia="Times New Roman" w:hAnsi="Arial"/>
                <w:kern w:val="0"/>
                <w:sz w:val="18"/>
                <w:szCs w:val="20"/>
                <w:lang w:val="en-GB" w:eastAsia="ja-JP"/>
              </w:rPr>
              <w:t>36))</w:t>
            </w:r>
          </w:p>
        </w:tc>
        <w:tc>
          <w:tcPr>
            <w:tcW w:w="2880" w:type="dxa"/>
          </w:tcPr>
          <w:p w14:paraId="51D92CE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Cell identity of a serving cell configured for a collocated IAB-MT.</w:t>
            </w:r>
          </w:p>
        </w:tc>
      </w:tr>
      <w:tr w:rsidR="00C50387" w:rsidRPr="00C50387" w14:paraId="5213D1B5" w14:textId="77777777" w:rsidTr="00D37BDF">
        <w:trPr>
          <w:jc w:val="center"/>
        </w:trPr>
        <w:tc>
          <w:tcPr>
            <w:tcW w:w="2448" w:type="dxa"/>
          </w:tcPr>
          <w:p w14:paraId="1B4A476A"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&gt;&gt;DU_RX/MT_RX</w:t>
            </w:r>
          </w:p>
        </w:tc>
        <w:tc>
          <w:tcPr>
            <w:tcW w:w="1080" w:type="dxa"/>
          </w:tcPr>
          <w:p w14:paraId="0BA27E49"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73D362A6"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0F7C79F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35607FC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en-GB"/>
              </w:rPr>
            </w:pPr>
            <w:r w:rsidRPr="00C50387">
              <w:rPr>
                <w:rFonts w:ascii="Arial" w:eastAsia="Times New Roman" w:hAnsi="Arial"/>
                <w:kern w:val="0"/>
                <w:sz w:val="18"/>
                <w:szCs w:val="20"/>
                <w:lang w:val="en-GB" w:eastAsia="en-GB"/>
              </w:rPr>
              <w:t>An indication of whether the IAB-node supports simultaneous reception at its DU and MT side.</w:t>
            </w:r>
          </w:p>
        </w:tc>
      </w:tr>
      <w:tr w:rsidR="00C50387" w:rsidRPr="00C50387" w14:paraId="4B9FA17D" w14:textId="77777777" w:rsidTr="00D37BDF">
        <w:trPr>
          <w:trHeight w:val="503"/>
          <w:jc w:val="center"/>
        </w:trPr>
        <w:tc>
          <w:tcPr>
            <w:tcW w:w="2448" w:type="dxa"/>
          </w:tcPr>
          <w:p w14:paraId="5D60FEB8"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&gt;&gt;DU_TX/MT_TX</w:t>
            </w:r>
          </w:p>
        </w:tc>
        <w:tc>
          <w:tcPr>
            <w:tcW w:w="1080" w:type="dxa"/>
          </w:tcPr>
          <w:p w14:paraId="6D18BD3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6921030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327D5DF0"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0E897D7B"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transmission at its DU and MT side.</w:t>
            </w:r>
          </w:p>
        </w:tc>
      </w:tr>
      <w:tr w:rsidR="00C50387" w:rsidRPr="00C50387" w14:paraId="4A7A710F" w14:textId="77777777" w:rsidTr="00D37BDF">
        <w:trPr>
          <w:trHeight w:val="503"/>
          <w:jc w:val="center"/>
        </w:trPr>
        <w:tc>
          <w:tcPr>
            <w:tcW w:w="2448" w:type="dxa"/>
          </w:tcPr>
          <w:p w14:paraId="46030F07"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&gt;&gt;DU_TX/MT_RX</w:t>
            </w:r>
          </w:p>
        </w:tc>
        <w:tc>
          <w:tcPr>
            <w:tcW w:w="1080" w:type="dxa"/>
          </w:tcPr>
          <w:p w14:paraId="7E64587B"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6AA357D3"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176D1E49"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502F87D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transmission at its DU and reception at its MT side.</w:t>
            </w:r>
          </w:p>
        </w:tc>
      </w:tr>
      <w:tr w:rsidR="00C50387" w:rsidRPr="00C50387" w14:paraId="6F25998D" w14:textId="77777777" w:rsidTr="00D37BDF">
        <w:trPr>
          <w:trHeight w:val="503"/>
          <w:jc w:val="center"/>
        </w:trPr>
        <w:tc>
          <w:tcPr>
            <w:tcW w:w="2448" w:type="dxa"/>
          </w:tcPr>
          <w:p w14:paraId="56502A42"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&gt;&gt;DU_RX/MT_TX</w:t>
            </w:r>
          </w:p>
        </w:tc>
        <w:tc>
          <w:tcPr>
            <w:tcW w:w="1080" w:type="dxa"/>
          </w:tcPr>
          <w:p w14:paraId="5C720FB3"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1ED12B2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597265CA"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14B7EDA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reception at its DU and transmission at its MT side.</w:t>
            </w:r>
          </w:p>
        </w:tc>
      </w:tr>
    </w:tbl>
    <w:p w14:paraId="17AF51E7" w14:textId="40997465" w:rsidR="008572B1" w:rsidRDefault="008572B1" w:rsidP="00BE59F3">
      <w:pPr>
        <w:spacing w:after="120"/>
      </w:pPr>
    </w:p>
    <w:p w14:paraId="3F294914" w14:textId="0EEEF99D" w:rsidR="00FD4344" w:rsidRDefault="002A69BE" w:rsidP="004437DB">
      <w:pPr>
        <w:pStyle w:val="maintext"/>
        <w:ind w:firstLine="440"/>
      </w:pPr>
      <w:r>
        <w:rPr>
          <w:rFonts w:hint="eastAsia"/>
        </w:rPr>
        <w:t>I</w:t>
      </w:r>
      <w:r>
        <w:t xml:space="preserve">t is noted that the Multiplexing Info in </w:t>
      </w:r>
      <w:r>
        <w:fldChar w:fldCharType="begin"/>
      </w:r>
      <w:r>
        <w:instrText xml:space="preserve"> REF _Ref61256963 \h </w:instrText>
      </w:r>
      <w:r>
        <w:fldChar w:fldCharType="separate"/>
      </w:r>
      <w:r w:rsidR="008E29E9">
        <w:t xml:space="preserve">Table </w:t>
      </w:r>
      <w:r w:rsidR="008E29E9">
        <w:rPr>
          <w:noProof/>
        </w:rPr>
        <w:t>2</w:t>
      </w:r>
      <w:r>
        <w:fldChar w:fldCharType="end"/>
      </w:r>
      <w:r>
        <w:t xml:space="preserve"> seems to be reported multiple times </w:t>
      </w:r>
      <w:r w:rsidR="004437DB">
        <w:t>so the IAB node can update its preference, if needed. From our understanding, it means that Rel-16 IAB already supports a certain level of t</w:t>
      </w:r>
      <w:r w:rsidR="004437DB" w:rsidRPr="004437DB">
        <w:t>emporal applicability</w:t>
      </w:r>
      <w:r w:rsidR="004437DB">
        <w:t xml:space="preserve"> </w:t>
      </w:r>
      <w:r w:rsidR="004437DB" w:rsidRPr="004437DB">
        <w:t>of a given multiplexing capability</w:t>
      </w:r>
      <w:r w:rsidR="004437DB">
        <w:t xml:space="preserve">. Therefore, </w:t>
      </w:r>
      <w:r w:rsidR="00F76EB3">
        <w:t>the potential performance gain from introducing a dynamic signalling to enable the t</w:t>
      </w:r>
      <w:r w:rsidR="00F76EB3" w:rsidRPr="004437DB">
        <w:t>emporal applicability</w:t>
      </w:r>
      <w:r w:rsidR="00F76EB3">
        <w:t xml:space="preserve"> of a given multiplexing capability should be </w:t>
      </w:r>
      <w:r w:rsidR="002A242F">
        <w:t xml:space="preserve">validated based on this baseline. </w:t>
      </w:r>
    </w:p>
    <w:p w14:paraId="00526F3F" w14:textId="065FD125" w:rsidR="0070398C" w:rsidRDefault="0070398C" w:rsidP="004437DB">
      <w:pPr>
        <w:pStyle w:val="maintext"/>
        <w:ind w:firstLine="440"/>
      </w:pPr>
      <w:r>
        <w:t>G</w:t>
      </w:r>
      <w:r w:rsidR="00FD4344">
        <w:t>iven that the Rel-16 capability on simultaneous operation can be provided per IAB-MT cell</w:t>
      </w:r>
      <w:r>
        <w:t xml:space="preserve"> as captured in </w:t>
      </w:r>
      <w:r>
        <w:fldChar w:fldCharType="begin"/>
      </w:r>
      <w:r>
        <w:instrText xml:space="preserve"> REF _Ref61256963 \h </w:instrText>
      </w:r>
      <w:r>
        <w:fldChar w:fldCharType="separate"/>
      </w:r>
      <w:r w:rsidR="008E29E9">
        <w:t xml:space="preserve">Table </w:t>
      </w:r>
      <w:r w:rsidR="008E29E9">
        <w:rPr>
          <w:noProof/>
        </w:rPr>
        <w:t>2</w:t>
      </w:r>
      <w:r>
        <w:fldChar w:fldCharType="end"/>
      </w:r>
      <w:r w:rsidR="00FD4344">
        <w:t xml:space="preserve">, </w:t>
      </w:r>
      <w:r>
        <w:t>one may</w:t>
      </w:r>
      <w:r w:rsidR="00FD4344">
        <w:t xml:space="preserve"> assume that a certain level of flexibility has been there from Rel-16 IAB unless </w:t>
      </w:r>
      <w:r w:rsidR="004D2623">
        <w:t xml:space="preserve">different types of multiplexing capabilities </w:t>
      </w:r>
      <w:r w:rsidR="00106446">
        <w:t xml:space="preserve">are required within </w:t>
      </w:r>
      <w:r w:rsidR="00637B49">
        <w:t>an</w:t>
      </w:r>
      <w:r w:rsidR="00106446">
        <w:t xml:space="preserve"> IAB-MT cell.</w:t>
      </w:r>
      <w:r w:rsidR="007522CD">
        <w:t xml:space="preserve"> </w:t>
      </w:r>
      <w:r>
        <w:t xml:space="preserve">In Rel-17, however, the Multiplexing Info needs to be enhanced to carry more detailed information on implementation choice. For instance, Rel-17 Multiplexing Info may indicate that whether the IAB node can perform the simultaneous operation(s) when the DU resources and MT resources are overlapped or not. </w:t>
      </w:r>
      <w:r w:rsidR="00CA5B46">
        <w:t>Reporting the supported multiplexing mode (FDM and/or SDM) for simultaneous operation can provide the following advantages at least:</w:t>
      </w:r>
    </w:p>
    <w:p w14:paraId="68D3B254" w14:textId="4A9ED70F" w:rsidR="00CA5B46" w:rsidRDefault="00CA5B46" w:rsidP="00CA5B46">
      <w:pPr>
        <w:pStyle w:val="maintext"/>
        <w:numPr>
          <w:ilvl w:val="0"/>
          <w:numId w:val="19"/>
        </w:numPr>
        <w:ind w:firstLineChars="0"/>
      </w:pPr>
      <w:r>
        <w:rPr>
          <w:rFonts w:hint="eastAsia"/>
        </w:rPr>
        <w:lastRenderedPageBreak/>
        <w:t>B</w:t>
      </w:r>
      <w:r>
        <w:t>y indicating that FDM of DU and MT resources is required for simultaneous operation</w:t>
      </w:r>
      <w:r w:rsidR="007C18A0">
        <w:t>s</w:t>
      </w:r>
      <w:r>
        <w:t xml:space="preserve">, </w:t>
      </w:r>
      <w:r w:rsidR="007C18A0">
        <w:t>low-cost IAB (e.g. with low level of isolation between DU/MT antennas) can have a chance to support simultaneous operations (e.g. for low latency).</w:t>
      </w:r>
    </w:p>
    <w:p w14:paraId="4AAD24B4" w14:textId="7128B6AA" w:rsidR="007C18A0" w:rsidRDefault="007C18A0" w:rsidP="00CA5B46">
      <w:pPr>
        <w:pStyle w:val="maintext"/>
        <w:numPr>
          <w:ilvl w:val="0"/>
          <w:numId w:val="19"/>
        </w:numPr>
        <w:ind w:firstLineChars="0"/>
      </w:pPr>
      <w:r>
        <w:rPr>
          <w:rFonts w:hint="eastAsia"/>
        </w:rPr>
        <w:t>B</w:t>
      </w:r>
      <w:r>
        <w:t xml:space="preserve">y indicating that SDM of DU and MT resources can be supported for simultaneous operations, high-cost IAB (e.g. with good isolation between DU/MT antennas) is able to perform simultaneous operations with maximum </w:t>
      </w:r>
      <w:r w:rsidR="00B353FB">
        <w:t>spectral efficiency</w:t>
      </w:r>
      <w:r>
        <w:t>.</w:t>
      </w:r>
    </w:p>
    <w:p w14:paraId="52F927BF" w14:textId="0FC79BC3" w:rsidR="00FD4344" w:rsidRDefault="00FD4344" w:rsidP="004437DB">
      <w:pPr>
        <w:pStyle w:val="maintext"/>
        <w:ind w:firstLine="440"/>
      </w:pPr>
    </w:p>
    <w:p w14:paraId="77AF329F" w14:textId="17A5E592" w:rsidR="0054775D" w:rsidRDefault="002F692C" w:rsidP="004437DB">
      <w:pPr>
        <w:pStyle w:val="maintext"/>
        <w:ind w:firstLine="440"/>
      </w:pPr>
      <w:r>
        <w:fldChar w:fldCharType="begin"/>
      </w:r>
      <w:r>
        <w:instrText xml:space="preserve"> REF _Ref68248293 \h </w:instrText>
      </w:r>
      <w:r>
        <w:fldChar w:fldCharType="separate"/>
      </w:r>
      <w:r w:rsidR="008E29E9">
        <w:t xml:space="preserve">Figure </w:t>
      </w:r>
      <w:r w:rsidR="008E29E9">
        <w:rPr>
          <w:noProof/>
        </w:rPr>
        <w:t>1</w:t>
      </w:r>
      <w:r>
        <w:fldChar w:fldCharType="end"/>
      </w:r>
      <w:r>
        <w:t xml:space="preserve"> represents exercises of DU/MT resource configuration and/or indication assuming the Multiplexing Info enhancements based on the above understanding.</w:t>
      </w:r>
    </w:p>
    <w:p w14:paraId="0BBBF14F" w14:textId="77777777" w:rsidR="0054775D" w:rsidRDefault="0054775D" w:rsidP="004437DB">
      <w:pPr>
        <w:pStyle w:val="maintext"/>
        <w:ind w:firstLine="440"/>
      </w:pPr>
    </w:p>
    <w:p w14:paraId="25B6555E" w14:textId="3098A86B" w:rsidR="00D734F7" w:rsidRDefault="00D734F7" w:rsidP="00D734F7">
      <w:pPr>
        <w:pStyle w:val="maintext"/>
        <w:keepNext/>
        <w:ind w:firstLineChars="0" w:firstLine="0"/>
      </w:pPr>
      <w:r>
        <w:rPr>
          <w:noProof/>
        </w:rPr>
        <w:drawing>
          <wp:inline distT="0" distB="0" distL="0" distR="0" wp14:anchorId="217F173B" wp14:editId="6B81CB76">
            <wp:extent cx="6264000" cy="31068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4000" cy="3106800"/>
                    </a:xfrm>
                    <a:prstGeom prst="rect">
                      <a:avLst/>
                    </a:prstGeom>
                    <a:noFill/>
                  </pic:spPr>
                </pic:pic>
              </a:graphicData>
            </a:graphic>
          </wp:inline>
        </w:drawing>
      </w:r>
    </w:p>
    <w:p w14:paraId="792ABA4C" w14:textId="3C25CF55" w:rsidR="00B353FB" w:rsidRDefault="00D734F7" w:rsidP="00D734F7">
      <w:pPr>
        <w:pStyle w:val="a8"/>
        <w:spacing w:after="120"/>
        <w:jc w:val="center"/>
      </w:pPr>
      <w:bookmarkStart w:id="6" w:name="_Ref68248293"/>
      <w:r>
        <w:t xml:space="preserve">Figure </w:t>
      </w:r>
      <w:r w:rsidR="0082459F">
        <w:fldChar w:fldCharType="begin"/>
      </w:r>
      <w:r w:rsidR="0082459F">
        <w:instrText xml:space="preserve"> SEQ Figure \* ARABIC </w:instrText>
      </w:r>
      <w:r w:rsidR="0082459F">
        <w:fldChar w:fldCharType="separate"/>
      </w:r>
      <w:r w:rsidR="00F70A2C">
        <w:rPr>
          <w:noProof/>
        </w:rPr>
        <w:t>1</w:t>
      </w:r>
      <w:r w:rsidR="0082459F">
        <w:rPr>
          <w:noProof/>
        </w:rPr>
        <w:fldChar w:fldCharType="end"/>
      </w:r>
      <w:bookmarkEnd w:id="6"/>
      <w:r>
        <w:t>. Examples of DU/MT resource allocation based on the enhanced Multiplexing Info.</w:t>
      </w:r>
    </w:p>
    <w:p w14:paraId="2C88AC88" w14:textId="124F9C33" w:rsidR="00797BAB" w:rsidRDefault="00797BAB" w:rsidP="004437DB">
      <w:pPr>
        <w:pStyle w:val="maintext"/>
        <w:ind w:firstLine="440"/>
      </w:pPr>
    </w:p>
    <w:p w14:paraId="13280C40" w14:textId="0211F9B5" w:rsidR="00797BAB" w:rsidRDefault="00797BAB" w:rsidP="008E29E9">
      <w:pPr>
        <w:spacing w:after="120"/>
        <w:ind w:left="330" w:hangingChars="150" w:hanging="330"/>
        <w:rPr>
          <w:b/>
        </w:rPr>
      </w:pPr>
      <w:r w:rsidRPr="005047B7">
        <w:rPr>
          <w:rFonts w:hint="eastAsia"/>
          <w:b/>
        </w:rPr>
        <w:t>O</w:t>
      </w:r>
      <w:r w:rsidRPr="005047B7">
        <w:rPr>
          <w:b/>
        </w:rPr>
        <w:t xml:space="preserve">bservation 1: </w:t>
      </w:r>
      <w:r>
        <w:rPr>
          <w:b/>
        </w:rPr>
        <w:t>Rel-16</w:t>
      </w:r>
      <w:r w:rsidRPr="005047B7">
        <w:rPr>
          <w:b/>
        </w:rPr>
        <w:t xml:space="preserve"> </w:t>
      </w:r>
      <w:r w:rsidR="002F692C">
        <w:rPr>
          <w:b/>
        </w:rPr>
        <w:t>M</w:t>
      </w:r>
      <w:r>
        <w:rPr>
          <w:b/>
        </w:rPr>
        <w:t xml:space="preserve">ultiplexing </w:t>
      </w:r>
      <w:r w:rsidR="002F692C">
        <w:rPr>
          <w:b/>
        </w:rPr>
        <w:t>I</w:t>
      </w:r>
      <w:r>
        <w:rPr>
          <w:b/>
        </w:rPr>
        <w:t>nfo can provide</w:t>
      </w:r>
      <w:r w:rsidR="002F692C">
        <w:rPr>
          <w:b/>
        </w:rPr>
        <w:t xml:space="preserve"> a certain level of</w:t>
      </w:r>
      <w:r>
        <w:rPr>
          <w:b/>
        </w:rPr>
        <w:t xml:space="preserve"> </w:t>
      </w:r>
      <w:r w:rsidRPr="00797BAB">
        <w:rPr>
          <w:b/>
        </w:rPr>
        <w:t>temporal applicability of a given multiplexing capability</w:t>
      </w:r>
      <w:r>
        <w:rPr>
          <w:b/>
        </w:rPr>
        <w:t>.</w:t>
      </w:r>
      <w:r w:rsidR="002F692C">
        <w:rPr>
          <w:b/>
        </w:rPr>
        <w:t xml:space="preserve"> (Enhancements on temporal applicability of Multiplexing Info are not urgent.)</w:t>
      </w:r>
    </w:p>
    <w:p w14:paraId="7B2C827B" w14:textId="4D35D3E3" w:rsidR="002F692C" w:rsidRDefault="002F692C" w:rsidP="008E29E9">
      <w:pPr>
        <w:spacing w:after="120"/>
        <w:ind w:left="330" w:hangingChars="150" w:hanging="330"/>
        <w:rPr>
          <w:b/>
        </w:rPr>
      </w:pPr>
      <w:r>
        <w:rPr>
          <w:b/>
        </w:rPr>
        <w:t>Proposal</w:t>
      </w:r>
      <w:r w:rsidR="00797BAB" w:rsidRPr="005047B7">
        <w:rPr>
          <w:b/>
        </w:rPr>
        <w:t xml:space="preserve"> </w:t>
      </w:r>
      <w:r>
        <w:rPr>
          <w:b/>
        </w:rPr>
        <w:t>1</w:t>
      </w:r>
      <w:r w:rsidR="00797BAB" w:rsidRPr="005047B7">
        <w:rPr>
          <w:b/>
        </w:rPr>
        <w:t xml:space="preserve">: </w:t>
      </w:r>
      <w:r>
        <w:rPr>
          <w:b/>
        </w:rPr>
        <w:t xml:space="preserve">Introduce an assist information on the supported </w:t>
      </w:r>
      <w:r w:rsidR="006C4C75">
        <w:rPr>
          <w:b/>
        </w:rPr>
        <w:t>duplexing mode (FDM and/or SDM) for simultaneous operations.</w:t>
      </w:r>
    </w:p>
    <w:p w14:paraId="5F72D497" w14:textId="250E9A49" w:rsidR="00797BAB" w:rsidRDefault="00797BAB" w:rsidP="004437DB">
      <w:pPr>
        <w:pStyle w:val="maintext"/>
        <w:ind w:firstLine="440"/>
        <w:rPr>
          <w:b/>
        </w:rPr>
      </w:pPr>
    </w:p>
    <w:p w14:paraId="06A216FB" w14:textId="2069CF6F" w:rsidR="00705766" w:rsidRDefault="006C4C75" w:rsidP="004437DB">
      <w:pPr>
        <w:pStyle w:val="maintext"/>
        <w:ind w:firstLine="440"/>
      </w:pPr>
      <w:r>
        <w:rPr>
          <w:rFonts w:hint="eastAsia"/>
        </w:rPr>
        <w:t>A</w:t>
      </w:r>
      <w:r>
        <w:t xml:space="preserve">s discussed in our companion contributions </w:t>
      </w:r>
      <w:r>
        <w:fldChar w:fldCharType="begin"/>
      </w:r>
      <w:r>
        <w:instrText xml:space="preserve"> REF _Ref68249366 \r \h </w:instrText>
      </w:r>
      <w:r>
        <w:fldChar w:fldCharType="separate"/>
      </w:r>
      <w:r w:rsidR="008E29E9">
        <w:t>[5]</w:t>
      </w:r>
      <w:r>
        <w:fldChar w:fldCharType="end"/>
      </w:r>
      <w:r>
        <w:t xml:space="preserve">, </w:t>
      </w:r>
      <w:r>
        <w:fldChar w:fldCharType="begin"/>
      </w:r>
      <w:r>
        <w:instrText xml:space="preserve"> REF _Ref68249368 \r \h </w:instrText>
      </w:r>
      <w:r>
        <w:fldChar w:fldCharType="separate"/>
      </w:r>
      <w:r w:rsidR="008E29E9">
        <w:t>[6]</w:t>
      </w:r>
      <w:r>
        <w:fldChar w:fldCharType="end"/>
      </w:r>
      <w:r>
        <w:t xml:space="preserve">, </w:t>
      </w:r>
      <w:r w:rsidR="0067566E">
        <w:t>applicability</w:t>
      </w:r>
      <w:r w:rsidR="00D87044">
        <w:t xml:space="preserve"> on </w:t>
      </w:r>
      <w:r w:rsidR="0067566E">
        <w:t xml:space="preserve">DL/UL power control for simultaneous operation is a key factor to decide whether to utilize simultaneous operations or not, due to its potential impacts on cross-link (access vs. backhaul or downlink vs. uplink) interferences. </w:t>
      </w:r>
      <w:r w:rsidR="00C2693E">
        <w:t xml:space="preserve">Therefore, the </w:t>
      </w:r>
      <w:r w:rsidR="00C2693E" w:rsidRPr="00C2693E">
        <w:t>conditions/reporting information to realize the given multiplexing capability</w:t>
      </w:r>
      <w:r w:rsidR="002868CA">
        <w:t xml:space="preserve"> should </w:t>
      </w:r>
      <w:r w:rsidR="00D415D5">
        <w:t>include power control based one at least.</w:t>
      </w:r>
    </w:p>
    <w:p w14:paraId="197D14B3" w14:textId="3D763C43" w:rsidR="006C4C75" w:rsidRDefault="006C4C75" w:rsidP="004437DB">
      <w:pPr>
        <w:pStyle w:val="maintext"/>
        <w:ind w:firstLine="440"/>
      </w:pPr>
    </w:p>
    <w:p w14:paraId="7BF2B605" w14:textId="1E1303DA" w:rsidR="00D415D5" w:rsidRDefault="00D415D5" w:rsidP="008E29E9">
      <w:pPr>
        <w:spacing w:after="120"/>
        <w:ind w:left="330" w:hangingChars="150" w:hanging="330"/>
      </w:pPr>
      <w:r>
        <w:rPr>
          <w:b/>
        </w:rPr>
        <w:t>Proposal</w:t>
      </w:r>
      <w:r w:rsidRPr="005047B7">
        <w:rPr>
          <w:b/>
        </w:rPr>
        <w:t xml:space="preserve"> </w:t>
      </w:r>
      <w:r>
        <w:rPr>
          <w:b/>
        </w:rPr>
        <w:t>2</w:t>
      </w:r>
      <w:r w:rsidRPr="005047B7">
        <w:rPr>
          <w:b/>
        </w:rPr>
        <w:t xml:space="preserve">: </w:t>
      </w:r>
      <w:r w:rsidR="002E0F5A" w:rsidRPr="005047B7">
        <w:rPr>
          <w:b/>
        </w:rPr>
        <w:t>Introduce a</w:t>
      </w:r>
      <w:r w:rsidR="002E0F5A">
        <w:rPr>
          <w:b/>
        </w:rPr>
        <w:t>n assist information to indicate support of (DL and/or UL) power control for simultaneous operations.</w:t>
      </w:r>
    </w:p>
    <w:p w14:paraId="1EC5981D" w14:textId="5A7AA662" w:rsidR="006C4C75" w:rsidRDefault="006C4C75" w:rsidP="004437DB">
      <w:pPr>
        <w:pStyle w:val="maintext"/>
        <w:ind w:firstLine="440"/>
      </w:pPr>
    </w:p>
    <w:p w14:paraId="2E4DDBA3" w14:textId="71329D71" w:rsidR="002E0F5A" w:rsidRDefault="00556387" w:rsidP="004437DB">
      <w:pPr>
        <w:pStyle w:val="maintext"/>
        <w:ind w:firstLine="440"/>
      </w:pPr>
      <w:r>
        <w:rPr>
          <w:rFonts w:hint="eastAsia"/>
        </w:rPr>
        <w:lastRenderedPageBreak/>
        <w:t>R</w:t>
      </w:r>
      <w:r>
        <w:t xml:space="preserve">egarding the resource management in the spatial domain, we think the baseline should be clarified first to study whether/how to enhance it for simultaneous operations. </w:t>
      </w:r>
      <w:r w:rsidR="003C08C8">
        <w:t>It seems that Rel-16 CSI/beam related reports could be one option for the baseline scheme and any feature duplicated with that from Rel-17 MIMO should be deprioritized in Rel-17 IAB.</w:t>
      </w:r>
    </w:p>
    <w:p w14:paraId="3DCEF329" w14:textId="47533027" w:rsidR="003C08C8" w:rsidRDefault="003C08C8" w:rsidP="004437DB">
      <w:pPr>
        <w:pStyle w:val="maintext"/>
        <w:ind w:firstLine="440"/>
      </w:pPr>
    </w:p>
    <w:p w14:paraId="5D6B3437" w14:textId="639996DC" w:rsidR="003C08C8" w:rsidRDefault="003C08C8" w:rsidP="008E29E9">
      <w:pPr>
        <w:spacing w:after="120"/>
        <w:ind w:left="330" w:hangingChars="150" w:hanging="330"/>
        <w:rPr>
          <w:b/>
        </w:rPr>
      </w:pPr>
      <w:r>
        <w:rPr>
          <w:b/>
        </w:rPr>
        <w:t>Proposal</w:t>
      </w:r>
      <w:r w:rsidRPr="005047B7">
        <w:rPr>
          <w:b/>
        </w:rPr>
        <w:t xml:space="preserve"> </w:t>
      </w:r>
      <w:r>
        <w:rPr>
          <w:b/>
        </w:rPr>
        <w:t>3</w:t>
      </w:r>
      <w:r w:rsidRPr="005047B7">
        <w:rPr>
          <w:b/>
        </w:rPr>
        <w:t xml:space="preserve">: </w:t>
      </w:r>
      <w:r w:rsidR="00264763" w:rsidRPr="00264763">
        <w:rPr>
          <w:b/>
        </w:rPr>
        <w:t>Regarding the resource management in the spatial domain</w:t>
      </w:r>
      <w:r w:rsidR="00264763">
        <w:rPr>
          <w:b/>
        </w:rPr>
        <w:t xml:space="preserve">, </w:t>
      </w:r>
      <w:r w:rsidR="008E29E9">
        <w:rPr>
          <w:b/>
        </w:rPr>
        <w:t xml:space="preserve">use the </w:t>
      </w:r>
      <w:r w:rsidR="008E29E9" w:rsidRPr="008E29E9">
        <w:rPr>
          <w:b/>
        </w:rPr>
        <w:t xml:space="preserve">Rel-16 CSI/beam related reports </w:t>
      </w:r>
      <w:r w:rsidR="008E29E9">
        <w:rPr>
          <w:b/>
        </w:rPr>
        <w:t>as a baseline scheme.</w:t>
      </w:r>
    </w:p>
    <w:p w14:paraId="163D560F" w14:textId="440FE588" w:rsidR="008E29E9" w:rsidRPr="008E29E9" w:rsidRDefault="008E29E9" w:rsidP="008E29E9">
      <w:pPr>
        <w:pStyle w:val="maintext"/>
        <w:numPr>
          <w:ilvl w:val="0"/>
          <w:numId w:val="20"/>
        </w:numPr>
        <w:ind w:firstLineChars="0"/>
        <w:rPr>
          <w:b/>
        </w:rPr>
      </w:pPr>
      <w:r w:rsidRPr="008E29E9">
        <w:rPr>
          <w:b/>
        </w:rPr>
        <w:t>Features duplicated with that from Rel-17 MIMO should be deprioritized in Rel-17 IAB.</w:t>
      </w:r>
    </w:p>
    <w:p w14:paraId="29BDB423" w14:textId="598D0EFD" w:rsidR="001F6B73" w:rsidRDefault="001F6B73" w:rsidP="001F6B73">
      <w:pPr>
        <w:spacing w:after="120"/>
      </w:pPr>
    </w:p>
    <w:p w14:paraId="1384D4F5" w14:textId="66E3CEA0" w:rsidR="005047B7" w:rsidRDefault="00041B62" w:rsidP="00FB23EC">
      <w:pPr>
        <w:pStyle w:val="maintext"/>
        <w:ind w:firstLine="440"/>
      </w:pPr>
      <w:r>
        <w:rPr>
          <w:rFonts w:hint="eastAsia"/>
        </w:rPr>
        <w:t>A</w:t>
      </w:r>
      <w:r>
        <w:t>s discussed in RAN1#103-e</w:t>
      </w:r>
      <w:r w:rsidR="008E29E9">
        <w:t xml:space="preserve"> </w:t>
      </w:r>
      <w:r w:rsidR="008E29E9">
        <w:fldChar w:fldCharType="begin"/>
      </w:r>
      <w:r w:rsidR="008E29E9">
        <w:instrText xml:space="preserve"> REF _Ref61254254 \r \h </w:instrText>
      </w:r>
      <w:r w:rsidR="008E29E9">
        <w:fldChar w:fldCharType="separate"/>
      </w:r>
      <w:r w:rsidR="008E29E9">
        <w:t>[1]</w:t>
      </w:r>
      <w:r w:rsidR="008E29E9">
        <w:fldChar w:fldCharType="end"/>
      </w:r>
      <w:r>
        <w:t xml:space="preserve">, </w:t>
      </w:r>
      <w:r w:rsidR="00FB23EC">
        <w:t xml:space="preserve">simultaneous operation of an IAB-node may impact non-IAB networks as well as IAB network itself. </w:t>
      </w:r>
      <w:r w:rsidR="004A33E1">
        <w:t xml:space="preserve">Per various situations such as relative traffic load between IAB/non-IAB networks (e.g. low traffic load for IAB network and high traffic load for non-IAB network), or different vertical types between IAB/non-IAB networks (e.g. </w:t>
      </w:r>
      <w:proofErr w:type="spellStart"/>
      <w:r w:rsidR="004A33E1">
        <w:t>eMBB</w:t>
      </w:r>
      <w:proofErr w:type="spellEnd"/>
      <w:r w:rsidR="004A33E1">
        <w:t xml:space="preserve"> for IAB network and URLLC for non-IAB network), </w:t>
      </w:r>
      <w:r w:rsidR="007D48E4">
        <w:t xml:space="preserve">the whole network may want to minimize the potential interference from IAB network to non-IAB network. In this case, the semi-static configuration of simultaneous operation by the higher-layer parameter(s) above might not be enough to deal with the dynamic nature of network environments. </w:t>
      </w:r>
      <w:r w:rsidR="00B75F6B">
        <w:t xml:space="preserve">Therefore, it is required to extend the existing DCI format 2_5 for dynamic indication of </w:t>
      </w:r>
      <w:r w:rsidR="00136051">
        <w:t>simultaneous operation(s).</w:t>
      </w:r>
    </w:p>
    <w:p w14:paraId="5ED8F073" w14:textId="3E3F1C7E" w:rsidR="0072607D" w:rsidRDefault="00EB0B3C" w:rsidP="00FB23EC">
      <w:pPr>
        <w:pStyle w:val="maintext"/>
        <w:ind w:firstLine="440"/>
      </w:pPr>
      <w:r>
        <w:t xml:space="preserve">Extension of the mapping between </w:t>
      </w:r>
      <w:r w:rsidRPr="00EB0B3C">
        <w:rPr>
          <w:lang w:val="en-US"/>
        </w:rPr>
        <w:t xml:space="preserve">values of </w:t>
      </w:r>
      <w:proofErr w:type="spellStart"/>
      <w:r w:rsidRPr="00EB0B3C">
        <w:rPr>
          <w:i/>
          <w:lang w:val="en-US"/>
        </w:rPr>
        <w:t>resourceAvailability</w:t>
      </w:r>
      <w:proofErr w:type="spellEnd"/>
      <w:r w:rsidRPr="00EB0B3C">
        <w:rPr>
          <w:lang w:val="en-US"/>
        </w:rPr>
        <w:t xml:space="preserve"> elements and types of soft symbol availability</w:t>
      </w:r>
      <w:r>
        <w:rPr>
          <w:lang w:val="en-US"/>
        </w:rPr>
        <w:t xml:space="preserve"> could be the</w:t>
      </w:r>
      <w:r>
        <w:t xml:space="preserve"> f</w:t>
      </w:r>
      <w:r w:rsidR="0072607D">
        <w:t>irst alternative to enable frequency domain resource type indication</w:t>
      </w:r>
      <w:r>
        <w:t xml:space="preserve">. </w:t>
      </w:r>
      <w:r>
        <w:fldChar w:fldCharType="begin"/>
      </w:r>
      <w:r>
        <w:instrText xml:space="preserve"> REF _Ref61266497 \h </w:instrText>
      </w:r>
      <w:r>
        <w:fldChar w:fldCharType="separate"/>
      </w:r>
      <w:r w:rsidR="008E29E9">
        <w:t xml:space="preserve">Table </w:t>
      </w:r>
      <w:r w:rsidR="008E29E9">
        <w:rPr>
          <w:noProof/>
        </w:rPr>
        <w:t>3</w:t>
      </w:r>
      <w:r>
        <w:fldChar w:fldCharType="end"/>
      </w:r>
      <w:r>
        <w:t xml:space="preserve"> shows an example of the revised mapping between </w:t>
      </w:r>
      <w:proofErr w:type="spellStart"/>
      <w:r w:rsidRPr="00EB0B3C">
        <w:rPr>
          <w:i/>
        </w:rPr>
        <w:t>resourceAvailability</w:t>
      </w:r>
      <w:proofErr w:type="spellEnd"/>
      <w:r>
        <w:t xml:space="preserve"> and the dynamic indication. </w:t>
      </w:r>
      <w:r w:rsidR="00B32B5D">
        <w:t xml:space="preserve">In this </w:t>
      </w:r>
      <w:r w:rsidR="00937E34">
        <w:t>case, the same mapping with Rel-16 is reused for the values from 0 to 7 and the additional values from 8 to 14 can indicate use</w:t>
      </w:r>
      <w:r w:rsidR="00A97F05">
        <w:t xml:space="preserve"> of simultaneous operation(s) on the frequency domain</w:t>
      </w:r>
      <w:r w:rsidR="0058374E">
        <w:t xml:space="preserve"> (per cell in this example)</w:t>
      </w:r>
      <w:r w:rsidR="00A97F05">
        <w:t>.</w:t>
      </w:r>
      <w:r w:rsidR="0058374E">
        <w:t xml:space="preserve"> </w:t>
      </w:r>
    </w:p>
    <w:p w14:paraId="33D88D10" w14:textId="15A860FA" w:rsidR="00EB0B3C" w:rsidRDefault="00EB0B3C" w:rsidP="00FB23EC">
      <w:pPr>
        <w:pStyle w:val="maintext"/>
        <w:ind w:firstLine="440"/>
      </w:pPr>
    </w:p>
    <w:p w14:paraId="01E1BC2E" w14:textId="0A30C90E" w:rsidR="00EB0B3C" w:rsidRDefault="00EB0B3C" w:rsidP="00EB0B3C">
      <w:pPr>
        <w:pStyle w:val="a8"/>
        <w:keepNext/>
        <w:spacing w:after="120"/>
      </w:pPr>
      <w:bookmarkStart w:id="7" w:name="_Ref61266497"/>
      <w:r>
        <w:t xml:space="preserve">Table </w:t>
      </w:r>
      <w:r w:rsidR="0082459F">
        <w:fldChar w:fldCharType="begin"/>
      </w:r>
      <w:r w:rsidR="0082459F">
        <w:instrText xml:space="preserve"> SEQ Table \* ARABIC </w:instrText>
      </w:r>
      <w:r w:rsidR="0082459F">
        <w:fldChar w:fldCharType="separate"/>
      </w:r>
      <w:r w:rsidR="000E1753">
        <w:rPr>
          <w:noProof/>
        </w:rPr>
        <w:t>3</w:t>
      </w:r>
      <w:r w:rsidR="0082459F">
        <w:rPr>
          <w:noProof/>
        </w:rPr>
        <w:fldChar w:fldCharType="end"/>
      </w:r>
      <w:bookmarkEnd w:id="7"/>
      <w:r>
        <w:t xml:space="preserve">. </w:t>
      </w:r>
      <w:r w:rsidRPr="00EB0B3C">
        <w:t xml:space="preserve">Mapping between values of </w:t>
      </w:r>
      <w:proofErr w:type="spellStart"/>
      <w:r w:rsidRPr="00EB0B3C">
        <w:rPr>
          <w:i/>
        </w:rPr>
        <w:t>resourceAvailability</w:t>
      </w:r>
      <w:proofErr w:type="spellEnd"/>
      <w:r w:rsidRPr="00EB0B3C">
        <w:t xml:space="preserve"> elements and types of soft symbol availability in a slot</w:t>
      </w:r>
      <w:r>
        <w:t xml:space="preserve"> and a given cell.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B0B3C" w:rsidRPr="00EB0B3C" w14:paraId="03610C69" w14:textId="77777777" w:rsidTr="00EB0B3C">
        <w:trPr>
          <w:jc w:val="center"/>
        </w:trPr>
        <w:tc>
          <w:tcPr>
            <w:tcW w:w="1140" w:type="dxa"/>
            <w:shd w:val="clear" w:color="auto" w:fill="E0E0E0"/>
            <w:tcMar>
              <w:top w:w="15" w:type="dxa"/>
              <w:left w:w="108" w:type="dxa"/>
              <w:bottom w:w="0" w:type="dxa"/>
              <w:right w:w="108" w:type="dxa"/>
            </w:tcMar>
            <w:vAlign w:val="center"/>
            <w:hideMark/>
          </w:tcPr>
          <w:p w14:paraId="17488106" w14:textId="77777777" w:rsidR="00EB0B3C" w:rsidRPr="00EB0B3C" w:rsidRDefault="00EB0B3C" w:rsidP="00EB0B3C">
            <w:pPr>
              <w:widowControl/>
              <w:autoSpaceDE/>
              <w:autoSpaceDN/>
              <w:spacing w:afterLines="0" w:after="120"/>
              <w:jc w:val="center"/>
              <w:rPr>
                <w:rFonts w:eastAsia="굴림"/>
                <w:kern w:val="0"/>
              </w:rPr>
            </w:pPr>
            <w:r w:rsidRPr="00EB0B3C">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hideMark/>
          </w:tcPr>
          <w:p w14:paraId="538A801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B0B3C" w:rsidRPr="00EB0B3C" w14:paraId="3646C659" w14:textId="77777777" w:rsidTr="00EB0B3C">
        <w:trPr>
          <w:jc w:val="center"/>
        </w:trPr>
        <w:tc>
          <w:tcPr>
            <w:tcW w:w="1140" w:type="dxa"/>
            <w:shd w:val="clear" w:color="auto" w:fill="auto"/>
            <w:tcMar>
              <w:top w:w="15" w:type="dxa"/>
              <w:left w:w="108" w:type="dxa"/>
              <w:bottom w:w="0" w:type="dxa"/>
              <w:right w:w="108" w:type="dxa"/>
            </w:tcMar>
            <w:vAlign w:val="center"/>
            <w:hideMark/>
          </w:tcPr>
          <w:p w14:paraId="3D25DD0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709C466D"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B0B3C" w:rsidRPr="00EB0B3C" w14:paraId="65AA8EE2" w14:textId="77777777" w:rsidTr="00EB0B3C">
        <w:trPr>
          <w:jc w:val="center"/>
        </w:trPr>
        <w:tc>
          <w:tcPr>
            <w:tcW w:w="1140" w:type="dxa"/>
            <w:shd w:val="clear" w:color="auto" w:fill="auto"/>
            <w:tcMar>
              <w:top w:w="15" w:type="dxa"/>
              <w:left w:w="108" w:type="dxa"/>
              <w:bottom w:w="0" w:type="dxa"/>
              <w:right w:w="108" w:type="dxa"/>
            </w:tcMar>
            <w:vAlign w:val="center"/>
            <w:hideMark/>
          </w:tcPr>
          <w:p w14:paraId="54341CD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E4291FB"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AE7476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B0B3C" w:rsidRPr="00EB0B3C" w14:paraId="390CE9C5" w14:textId="77777777" w:rsidTr="00EB0B3C">
        <w:trPr>
          <w:jc w:val="center"/>
        </w:trPr>
        <w:tc>
          <w:tcPr>
            <w:tcW w:w="1140" w:type="dxa"/>
            <w:shd w:val="clear" w:color="auto" w:fill="auto"/>
            <w:tcMar>
              <w:top w:w="15" w:type="dxa"/>
              <w:left w:w="108" w:type="dxa"/>
              <w:bottom w:w="0" w:type="dxa"/>
              <w:right w:w="108" w:type="dxa"/>
            </w:tcMar>
            <w:vAlign w:val="center"/>
            <w:hideMark/>
          </w:tcPr>
          <w:p w14:paraId="5B385FD9"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1CC1E95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562087F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B0B3C" w:rsidRPr="00EB0B3C" w14:paraId="5ABE61CC" w14:textId="77777777" w:rsidTr="00EB0B3C">
        <w:trPr>
          <w:jc w:val="center"/>
        </w:trPr>
        <w:tc>
          <w:tcPr>
            <w:tcW w:w="1140" w:type="dxa"/>
            <w:shd w:val="clear" w:color="auto" w:fill="auto"/>
            <w:tcMar>
              <w:top w:w="15" w:type="dxa"/>
              <w:left w:w="108" w:type="dxa"/>
              <w:bottom w:w="0" w:type="dxa"/>
              <w:right w:w="108" w:type="dxa"/>
            </w:tcMar>
            <w:vAlign w:val="center"/>
            <w:hideMark/>
          </w:tcPr>
          <w:p w14:paraId="3F70F8A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F8FC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463AD9B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B0B3C" w:rsidRPr="00EB0B3C" w14:paraId="41F49503" w14:textId="77777777" w:rsidTr="00EB0B3C">
        <w:trPr>
          <w:jc w:val="center"/>
        </w:trPr>
        <w:tc>
          <w:tcPr>
            <w:tcW w:w="1140" w:type="dxa"/>
            <w:shd w:val="clear" w:color="auto" w:fill="auto"/>
            <w:tcMar>
              <w:top w:w="15" w:type="dxa"/>
              <w:left w:w="108" w:type="dxa"/>
              <w:bottom w:w="0" w:type="dxa"/>
              <w:right w:w="108" w:type="dxa"/>
            </w:tcMar>
            <w:vAlign w:val="center"/>
            <w:hideMark/>
          </w:tcPr>
          <w:p w14:paraId="54BAAAAC"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183260F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5FBF1E2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B0B3C" w:rsidRPr="00EB0B3C" w14:paraId="0A4B8F93" w14:textId="77777777" w:rsidTr="00EB0B3C">
        <w:trPr>
          <w:jc w:val="center"/>
        </w:trPr>
        <w:tc>
          <w:tcPr>
            <w:tcW w:w="1140" w:type="dxa"/>
            <w:shd w:val="clear" w:color="auto" w:fill="auto"/>
            <w:tcMar>
              <w:top w:w="15" w:type="dxa"/>
              <w:left w:w="108" w:type="dxa"/>
              <w:bottom w:w="0" w:type="dxa"/>
              <w:right w:w="108" w:type="dxa"/>
            </w:tcMar>
            <w:vAlign w:val="center"/>
            <w:hideMark/>
          </w:tcPr>
          <w:p w14:paraId="5F055B9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6B96D4D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146F3B8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B0B3C" w:rsidRPr="00EB0B3C" w14:paraId="114E25C6" w14:textId="77777777" w:rsidTr="00EB0B3C">
        <w:trPr>
          <w:jc w:val="center"/>
        </w:trPr>
        <w:tc>
          <w:tcPr>
            <w:tcW w:w="1140" w:type="dxa"/>
            <w:shd w:val="clear" w:color="auto" w:fill="auto"/>
            <w:tcMar>
              <w:top w:w="15" w:type="dxa"/>
              <w:left w:w="108" w:type="dxa"/>
              <w:bottom w:w="0" w:type="dxa"/>
              <w:right w:w="108" w:type="dxa"/>
            </w:tcMar>
            <w:vAlign w:val="center"/>
            <w:hideMark/>
          </w:tcPr>
          <w:p w14:paraId="0FCFB29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2E037A4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56763EA5"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B0B3C" w:rsidRPr="00EB0B3C" w14:paraId="60621D06" w14:textId="77777777" w:rsidTr="00EB0B3C">
        <w:trPr>
          <w:jc w:val="center"/>
        </w:trPr>
        <w:tc>
          <w:tcPr>
            <w:tcW w:w="1140" w:type="dxa"/>
            <w:shd w:val="clear" w:color="auto" w:fill="auto"/>
            <w:tcMar>
              <w:top w:w="15" w:type="dxa"/>
              <w:left w:w="108" w:type="dxa"/>
              <w:bottom w:w="0" w:type="dxa"/>
              <w:right w:w="108" w:type="dxa"/>
            </w:tcMar>
            <w:vAlign w:val="center"/>
            <w:hideMark/>
          </w:tcPr>
          <w:p w14:paraId="7E0BCAA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2569A16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B0B3C" w:rsidRPr="00EB0B3C" w14:paraId="59458876" w14:textId="77777777" w:rsidTr="00EB0B3C">
        <w:trPr>
          <w:jc w:val="center"/>
        </w:trPr>
        <w:tc>
          <w:tcPr>
            <w:tcW w:w="1140" w:type="dxa"/>
            <w:shd w:val="clear" w:color="auto" w:fill="auto"/>
            <w:tcMar>
              <w:top w:w="15" w:type="dxa"/>
              <w:left w:w="108" w:type="dxa"/>
              <w:bottom w:w="0" w:type="dxa"/>
              <w:right w:w="108" w:type="dxa"/>
            </w:tcMar>
            <w:vAlign w:val="center"/>
            <w:hideMark/>
          </w:tcPr>
          <w:p w14:paraId="581CF57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6A02C54D" w14:textId="01550002"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and SO</w:t>
            </w:r>
            <w:r w:rsidR="00B32B5D">
              <w:rPr>
                <w:rFonts w:eastAsia="SimSun"/>
                <w:color w:val="000000"/>
                <w:kern w:val="24"/>
                <w:lang w:val="en-GB"/>
              </w:rPr>
              <w:t xml:space="preserve"> (simultaneous operations)</w:t>
            </w:r>
            <w:r w:rsidRPr="00EB0B3C">
              <w:rPr>
                <w:rFonts w:eastAsia="SimSun"/>
                <w:color w:val="000000"/>
                <w:kern w:val="24"/>
                <w:lang w:val="en-GB"/>
              </w:rPr>
              <w:t xml:space="preserve"> soft symbols are indicated available </w:t>
            </w:r>
          </w:p>
          <w:p w14:paraId="075815B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B0B3C" w:rsidRPr="00EB0B3C" w14:paraId="1E4F157F" w14:textId="77777777" w:rsidTr="00EB0B3C">
        <w:trPr>
          <w:jc w:val="center"/>
        </w:trPr>
        <w:tc>
          <w:tcPr>
            <w:tcW w:w="1140" w:type="dxa"/>
            <w:shd w:val="clear" w:color="auto" w:fill="auto"/>
            <w:tcMar>
              <w:top w:w="15" w:type="dxa"/>
              <w:left w:w="108" w:type="dxa"/>
              <w:bottom w:w="0" w:type="dxa"/>
              <w:right w:w="108" w:type="dxa"/>
            </w:tcMar>
            <w:vAlign w:val="center"/>
            <w:hideMark/>
          </w:tcPr>
          <w:p w14:paraId="5B90EA3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61750CA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and SO soft symbols are indicated available </w:t>
            </w:r>
          </w:p>
          <w:p w14:paraId="62742F7F"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B0B3C" w:rsidRPr="00EB0B3C" w14:paraId="6C4802F1" w14:textId="77777777" w:rsidTr="00EB0B3C">
        <w:trPr>
          <w:jc w:val="center"/>
        </w:trPr>
        <w:tc>
          <w:tcPr>
            <w:tcW w:w="1140" w:type="dxa"/>
            <w:shd w:val="clear" w:color="auto" w:fill="auto"/>
            <w:tcMar>
              <w:top w:w="15" w:type="dxa"/>
              <w:left w:w="108" w:type="dxa"/>
              <w:bottom w:w="0" w:type="dxa"/>
              <w:right w:w="108" w:type="dxa"/>
            </w:tcMar>
            <w:vAlign w:val="center"/>
            <w:hideMark/>
          </w:tcPr>
          <w:p w14:paraId="5AF8745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0894FBB7"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UL and SO soft symbols are indicated available </w:t>
            </w:r>
          </w:p>
          <w:p w14:paraId="56894C7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lastRenderedPageBreak/>
              <w:t>No indication of availability for Flexible soft symbols</w:t>
            </w:r>
          </w:p>
        </w:tc>
      </w:tr>
      <w:tr w:rsidR="00EB0B3C" w:rsidRPr="00EB0B3C" w14:paraId="5ACD5A0F" w14:textId="77777777" w:rsidTr="00EB0B3C">
        <w:trPr>
          <w:jc w:val="center"/>
        </w:trPr>
        <w:tc>
          <w:tcPr>
            <w:tcW w:w="1140" w:type="dxa"/>
            <w:shd w:val="clear" w:color="auto" w:fill="auto"/>
            <w:tcMar>
              <w:top w:w="15" w:type="dxa"/>
              <w:left w:w="108" w:type="dxa"/>
              <w:bottom w:w="0" w:type="dxa"/>
              <w:right w:w="108" w:type="dxa"/>
            </w:tcMar>
            <w:vAlign w:val="center"/>
            <w:hideMark/>
          </w:tcPr>
          <w:p w14:paraId="21A5C5D9"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lastRenderedPageBreak/>
              <w:t>11</w:t>
            </w:r>
          </w:p>
        </w:tc>
        <w:tc>
          <w:tcPr>
            <w:tcW w:w="7940" w:type="dxa"/>
            <w:shd w:val="clear" w:color="auto" w:fill="auto"/>
            <w:tcMar>
              <w:top w:w="15" w:type="dxa"/>
              <w:left w:w="108" w:type="dxa"/>
              <w:bottom w:w="0" w:type="dxa"/>
              <w:right w:w="108" w:type="dxa"/>
            </w:tcMar>
            <w:vAlign w:val="center"/>
            <w:hideMark/>
          </w:tcPr>
          <w:p w14:paraId="6FA3D7B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and SO soft symbols are indicated available </w:t>
            </w:r>
          </w:p>
          <w:p w14:paraId="7B96948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UL soft symbols</w:t>
            </w:r>
          </w:p>
        </w:tc>
      </w:tr>
      <w:tr w:rsidR="00EB0B3C" w:rsidRPr="00EB0B3C" w14:paraId="108AFD8F" w14:textId="77777777" w:rsidTr="00EB0B3C">
        <w:trPr>
          <w:jc w:val="center"/>
        </w:trPr>
        <w:tc>
          <w:tcPr>
            <w:tcW w:w="1140" w:type="dxa"/>
            <w:shd w:val="clear" w:color="auto" w:fill="auto"/>
            <w:tcMar>
              <w:top w:w="15" w:type="dxa"/>
              <w:left w:w="108" w:type="dxa"/>
              <w:bottom w:w="0" w:type="dxa"/>
              <w:right w:w="108" w:type="dxa"/>
            </w:tcMar>
            <w:vAlign w:val="center"/>
            <w:hideMark/>
          </w:tcPr>
          <w:p w14:paraId="1304C8E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12</w:t>
            </w:r>
          </w:p>
        </w:tc>
        <w:tc>
          <w:tcPr>
            <w:tcW w:w="7940" w:type="dxa"/>
            <w:shd w:val="clear" w:color="auto" w:fill="auto"/>
            <w:tcMar>
              <w:top w:w="15" w:type="dxa"/>
              <w:left w:w="108" w:type="dxa"/>
              <w:bottom w:w="0" w:type="dxa"/>
              <w:right w:w="108" w:type="dxa"/>
            </w:tcMar>
            <w:vAlign w:val="center"/>
            <w:hideMark/>
          </w:tcPr>
          <w:p w14:paraId="399BABB2"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Flexible and SO soft symbols are indicated available </w:t>
            </w:r>
          </w:p>
          <w:p w14:paraId="24168F7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B0B3C" w:rsidRPr="00EB0B3C" w14:paraId="011B12F1" w14:textId="77777777" w:rsidTr="00EB0B3C">
        <w:trPr>
          <w:jc w:val="center"/>
        </w:trPr>
        <w:tc>
          <w:tcPr>
            <w:tcW w:w="1140" w:type="dxa"/>
            <w:shd w:val="clear" w:color="auto" w:fill="auto"/>
            <w:tcMar>
              <w:top w:w="15" w:type="dxa"/>
              <w:left w:w="108" w:type="dxa"/>
              <w:bottom w:w="0" w:type="dxa"/>
              <w:right w:w="108" w:type="dxa"/>
            </w:tcMar>
            <w:vAlign w:val="center"/>
            <w:hideMark/>
          </w:tcPr>
          <w:p w14:paraId="3F2E204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13</w:t>
            </w:r>
          </w:p>
        </w:tc>
        <w:tc>
          <w:tcPr>
            <w:tcW w:w="7940" w:type="dxa"/>
            <w:shd w:val="clear" w:color="auto" w:fill="auto"/>
            <w:tcMar>
              <w:top w:w="15" w:type="dxa"/>
              <w:left w:w="108" w:type="dxa"/>
              <w:bottom w:w="0" w:type="dxa"/>
              <w:right w:w="108" w:type="dxa"/>
            </w:tcMar>
            <w:vAlign w:val="center"/>
            <w:hideMark/>
          </w:tcPr>
          <w:p w14:paraId="679A238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Flexible and SO soft symbols are indicated available </w:t>
            </w:r>
          </w:p>
          <w:p w14:paraId="1F50FD88"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B0B3C" w:rsidRPr="00EB0B3C" w14:paraId="6A16D57E" w14:textId="77777777" w:rsidTr="00EB0B3C">
        <w:trPr>
          <w:jc w:val="center"/>
        </w:trPr>
        <w:tc>
          <w:tcPr>
            <w:tcW w:w="1140" w:type="dxa"/>
            <w:shd w:val="clear" w:color="auto" w:fill="auto"/>
            <w:tcMar>
              <w:top w:w="15" w:type="dxa"/>
              <w:left w:w="108" w:type="dxa"/>
              <w:bottom w:w="0" w:type="dxa"/>
              <w:right w:w="108" w:type="dxa"/>
            </w:tcMar>
            <w:vAlign w:val="center"/>
            <w:hideMark/>
          </w:tcPr>
          <w:p w14:paraId="06B2547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025DF89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UL, Flexible, and SO soft symbols are indicated available</w:t>
            </w:r>
          </w:p>
        </w:tc>
      </w:tr>
      <w:tr w:rsidR="00EB0B3C" w:rsidRPr="00EB0B3C" w14:paraId="0BA17E35" w14:textId="77777777" w:rsidTr="00EB0B3C">
        <w:trPr>
          <w:jc w:val="center"/>
        </w:trPr>
        <w:tc>
          <w:tcPr>
            <w:tcW w:w="1140" w:type="dxa"/>
            <w:shd w:val="clear" w:color="auto" w:fill="auto"/>
            <w:tcMar>
              <w:top w:w="15" w:type="dxa"/>
              <w:left w:w="108" w:type="dxa"/>
              <w:bottom w:w="0" w:type="dxa"/>
              <w:right w:w="108" w:type="dxa"/>
            </w:tcMar>
            <w:vAlign w:val="center"/>
            <w:hideMark/>
          </w:tcPr>
          <w:p w14:paraId="0909250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3EDEFD2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779D1934" w14:textId="60DCDD8B" w:rsidR="00EB0B3C" w:rsidRPr="00EB0B3C" w:rsidRDefault="00EB0B3C" w:rsidP="00FB23EC">
      <w:pPr>
        <w:pStyle w:val="maintext"/>
        <w:ind w:firstLine="440"/>
        <w:rPr>
          <w:lang w:val="en-US"/>
        </w:rPr>
      </w:pPr>
    </w:p>
    <w:p w14:paraId="142C0EDE" w14:textId="0746FB78" w:rsidR="00EB0B3C" w:rsidRDefault="00F50726" w:rsidP="00FB23EC">
      <w:pPr>
        <w:pStyle w:val="maintext"/>
        <w:ind w:firstLine="440"/>
      </w:pPr>
      <w:r>
        <w:rPr>
          <w:rFonts w:hint="eastAsia"/>
        </w:rPr>
        <w:t>T</w:t>
      </w:r>
      <w:r>
        <w:t xml:space="preserve">hrough the extensions as in </w:t>
      </w:r>
      <w:r>
        <w:fldChar w:fldCharType="begin"/>
      </w:r>
      <w:r>
        <w:instrText xml:space="preserve"> REF _Ref61266497 \h </w:instrText>
      </w:r>
      <w:r>
        <w:fldChar w:fldCharType="separate"/>
      </w:r>
      <w:r w:rsidR="008E29E9">
        <w:t xml:space="preserve">Table </w:t>
      </w:r>
      <w:r w:rsidR="008E29E9">
        <w:rPr>
          <w:noProof/>
        </w:rPr>
        <w:t>3</w:t>
      </w:r>
      <w:r>
        <w:fldChar w:fldCharType="end"/>
      </w:r>
      <w:r>
        <w:t xml:space="preserve">, it is able to </w:t>
      </w:r>
      <w:r w:rsidR="000F1108">
        <w:t xml:space="preserve">secure high flexibility to control IAB-DU’s simultaneous operation. </w:t>
      </w:r>
      <w:r w:rsidR="00197752">
        <w:t>However,</w:t>
      </w:r>
      <w:r w:rsidR="009E5383">
        <w:t xml:space="preserve"> </w:t>
      </w:r>
      <w:r w:rsidR="009E5383">
        <w:fldChar w:fldCharType="begin"/>
      </w:r>
      <w:r w:rsidR="009E5383">
        <w:instrText xml:space="preserve"> REF _Ref61266497 \h </w:instrText>
      </w:r>
      <w:r w:rsidR="009E5383">
        <w:fldChar w:fldCharType="separate"/>
      </w:r>
      <w:r w:rsidR="008E29E9">
        <w:t xml:space="preserve">Table </w:t>
      </w:r>
      <w:r w:rsidR="008E29E9">
        <w:rPr>
          <w:noProof/>
        </w:rPr>
        <w:t>3</w:t>
      </w:r>
      <w:r w:rsidR="009E5383">
        <w:fldChar w:fldCharType="end"/>
      </w:r>
      <w:r w:rsidR="009E5383">
        <w:t xml:space="preserve"> makes </w:t>
      </w:r>
      <w:r w:rsidR="003376E2">
        <w:t>a hard association between time domain resource availability and frequency domain resource availability</w:t>
      </w:r>
      <w:r w:rsidR="00197752">
        <w:t xml:space="preserve"> in terms of </w:t>
      </w:r>
      <w:r w:rsidR="00007735">
        <w:t>indication</w:t>
      </w:r>
      <w:r w:rsidR="0061598B">
        <w:t xml:space="preserve"> </w:t>
      </w:r>
      <w:r w:rsidR="008703BA">
        <w:t xml:space="preserve">periodicity and </w:t>
      </w:r>
      <w:r w:rsidR="00007735">
        <w:t>applicable duration</w:t>
      </w:r>
      <w:r w:rsidR="003376E2">
        <w:t xml:space="preserve">. </w:t>
      </w:r>
      <w:r w:rsidR="008A60EF">
        <w:t xml:space="preserve">In other words, when the desired values of indication periodicities for time and frequency domains are quite different, the shorter one should be the reference always </w:t>
      </w:r>
      <w:r w:rsidR="001862CB">
        <w:t xml:space="preserve">and the signalling overhead could be increased, consequently. </w:t>
      </w:r>
      <w:r w:rsidR="00EE5F3C">
        <w:t xml:space="preserve">As the second alternative to address this issue, a new RNTI can be introduced to distinguish time domain resource availability indication and frequency domain resource availability indication. </w:t>
      </w:r>
      <w:r w:rsidR="00497658">
        <w:t xml:space="preserve">For instance, the IAB-node </w:t>
      </w:r>
      <w:r w:rsidR="00376076">
        <w:t xml:space="preserve">can apply the </w:t>
      </w:r>
      <w:r w:rsidR="004345B4">
        <w:t>DCI for time domain resource availability when the DCI is scrambled with AI-RNTI. Otherwise (i.e. when the DCI is scrambled with the new RNTI), the IAB-node can assess that the DCI is utilized for frequency domain resource availability.</w:t>
      </w:r>
    </w:p>
    <w:p w14:paraId="628BCB9F" w14:textId="77777777" w:rsidR="005047B7" w:rsidRDefault="005047B7" w:rsidP="001F6B73">
      <w:pPr>
        <w:spacing w:after="120"/>
      </w:pPr>
    </w:p>
    <w:p w14:paraId="62E0ABB7" w14:textId="7D941E69" w:rsidR="00321CFD" w:rsidRPr="00A66E58" w:rsidRDefault="00321CFD" w:rsidP="001F6B73">
      <w:pPr>
        <w:spacing w:after="120"/>
        <w:rPr>
          <w:b/>
        </w:rPr>
      </w:pPr>
      <w:r w:rsidRPr="00A66E58">
        <w:rPr>
          <w:rFonts w:hint="eastAsia"/>
          <w:b/>
        </w:rPr>
        <w:t>P</w:t>
      </w:r>
      <w:r w:rsidRPr="00A66E58">
        <w:rPr>
          <w:b/>
        </w:rPr>
        <w:t xml:space="preserve">roposal </w:t>
      </w:r>
      <w:r w:rsidR="008E29E9">
        <w:rPr>
          <w:b/>
        </w:rPr>
        <w:t>4</w:t>
      </w:r>
      <w:r w:rsidRPr="00A66E58">
        <w:rPr>
          <w:b/>
        </w:rPr>
        <w:t xml:space="preserve">: Enhance DCI format 2_5 to enable </w:t>
      </w:r>
      <w:r w:rsidR="004345B4" w:rsidRPr="00A66E58">
        <w:rPr>
          <w:b/>
        </w:rPr>
        <w:t>frequency domain resource availability indication.</w:t>
      </w:r>
    </w:p>
    <w:p w14:paraId="002DF8C8" w14:textId="2DEA9E55" w:rsidR="004345B4" w:rsidRPr="00A66E58" w:rsidRDefault="004345B4" w:rsidP="004345B4">
      <w:pPr>
        <w:pStyle w:val="a7"/>
        <w:numPr>
          <w:ilvl w:val="0"/>
          <w:numId w:val="13"/>
        </w:numPr>
        <w:spacing w:after="120"/>
        <w:ind w:leftChars="0"/>
        <w:rPr>
          <w:b/>
        </w:rPr>
      </w:pPr>
      <w:r w:rsidRPr="00A66E58">
        <w:rPr>
          <w:b/>
        </w:rPr>
        <w:t xml:space="preserve">Alt.1: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p>
    <w:p w14:paraId="1CC8FF31" w14:textId="730D0EF4" w:rsidR="004345B4" w:rsidRPr="00A66E58" w:rsidRDefault="004345B4" w:rsidP="004345B4">
      <w:pPr>
        <w:pStyle w:val="a7"/>
        <w:numPr>
          <w:ilvl w:val="0"/>
          <w:numId w:val="13"/>
        </w:numPr>
        <w:spacing w:after="120"/>
        <w:ind w:leftChars="0"/>
        <w:rPr>
          <w:b/>
        </w:rPr>
      </w:pPr>
      <w:r w:rsidRPr="00A66E58">
        <w:rPr>
          <w:b/>
        </w:rPr>
        <w:t>Alt.2: Introduce a new RNTI to indicate frequency domain resource availability.</w:t>
      </w:r>
    </w:p>
    <w:p w14:paraId="285B2A82" w14:textId="42678817" w:rsidR="000734D3" w:rsidRDefault="000734D3" w:rsidP="001F6B73">
      <w:pPr>
        <w:spacing w:after="120"/>
      </w:pPr>
    </w:p>
    <w:p w14:paraId="79331DA0" w14:textId="52883A47" w:rsidR="00064BAB" w:rsidRDefault="008E29E9" w:rsidP="008E29E9">
      <w:pPr>
        <w:pStyle w:val="maintext"/>
        <w:ind w:firstLine="440"/>
      </w:pPr>
      <w:r>
        <w:rPr>
          <w:rFonts w:hint="eastAsia"/>
        </w:rPr>
        <w:t>T</w:t>
      </w:r>
      <w:r>
        <w:t xml:space="preserve">he following agreements and FFS points on handling of </w:t>
      </w:r>
      <w:r w:rsidRPr="008E29E9">
        <w:t>cell-specific/semi-static signals and channels</w:t>
      </w:r>
      <w:r>
        <w:t xml:space="preserve"> had been made in RAN1#104-e meeting </w:t>
      </w:r>
      <w:r>
        <w:fldChar w:fldCharType="begin"/>
      </w:r>
      <w:r>
        <w:instrText xml:space="preserve"> REF _Ref68252926 \r \h </w:instrText>
      </w:r>
      <w:r>
        <w:fldChar w:fldCharType="separate"/>
      </w:r>
      <w:r>
        <w:t>[2]</w:t>
      </w:r>
      <w:r>
        <w:fldChar w:fldCharType="end"/>
      </w:r>
      <w:r>
        <w:t>:</w:t>
      </w:r>
    </w:p>
    <w:tbl>
      <w:tblPr>
        <w:tblStyle w:val="a6"/>
        <w:tblW w:w="0" w:type="auto"/>
        <w:tblLook w:val="04A0" w:firstRow="1" w:lastRow="0" w:firstColumn="1" w:lastColumn="0" w:noHBand="0" w:noVBand="1"/>
      </w:tblPr>
      <w:tblGrid>
        <w:gridCol w:w="9736"/>
      </w:tblGrid>
      <w:tr w:rsidR="00064BAB" w:rsidRPr="00C21AD7" w14:paraId="14DE7875" w14:textId="77777777" w:rsidTr="006037CB">
        <w:tc>
          <w:tcPr>
            <w:tcW w:w="9736" w:type="dxa"/>
          </w:tcPr>
          <w:p w14:paraId="6A04678A" w14:textId="77777777" w:rsidR="00064BAB" w:rsidRPr="00DB184C" w:rsidRDefault="00064BAB" w:rsidP="006037CB">
            <w:pPr>
              <w:widowControl/>
              <w:wordWrap/>
              <w:autoSpaceDE/>
              <w:autoSpaceDN/>
              <w:spacing w:afterLines="0" w:after="0"/>
              <w:jc w:val="left"/>
              <w:rPr>
                <w:rFonts w:ascii="Times" w:eastAsia="바탕" w:hAnsi="Times" w:cs="Times"/>
                <w:b/>
                <w:bCs/>
                <w:color w:val="000000"/>
                <w:sz w:val="24"/>
                <w:szCs w:val="24"/>
                <w:lang w:val="en-GB"/>
              </w:rPr>
            </w:pPr>
            <w:r w:rsidRPr="00DB184C">
              <w:rPr>
                <w:rFonts w:ascii="Times" w:eastAsia="바탕" w:hAnsi="Times" w:cs="Times"/>
                <w:b/>
                <w:bCs/>
                <w:sz w:val="20"/>
                <w:szCs w:val="20"/>
                <w:highlight w:val="green"/>
                <w:lang w:val="en-GB"/>
              </w:rPr>
              <w:t>Agreement</w:t>
            </w:r>
          </w:p>
          <w:p w14:paraId="46050840" w14:textId="77777777" w:rsidR="00064BAB" w:rsidRPr="00DB184C" w:rsidRDefault="00064BAB" w:rsidP="006037CB">
            <w:pPr>
              <w:widowControl/>
              <w:wordWrap/>
              <w:autoSpaceDE/>
              <w:autoSpaceDN/>
              <w:spacing w:afterLines="0" w:after="0"/>
              <w:jc w:val="left"/>
              <w:rPr>
                <w:rFonts w:ascii="Times" w:eastAsia="바탕" w:hAnsi="Times" w:cs="Times"/>
                <w:sz w:val="20"/>
                <w:szCs w:val="24"/>
                <w:lang w:val="en-GB"/>
              </w:rPr>
            </w:pPr>
            <w:r w:rsidRPr="00DB184C">
              <w:rPr>
                <w:rFonts w:ascii="Times" w:eastAsia="바탕" w:hAnsi="Times" w:cs="Times"/>
                <w:sz w:val="20"/>
                <w:szCs w:val="20"/>
                <w:lang w:val="en-GB"/>
              </w:rPr>
              <w:t>Regardless of simultaneous operation, the same cell-specific/semi-static signals and channels of the IAB-DU considered as hard time/frequency resources in Rel-16 are also considered as hard time/frequency resources in Rel-17.</w:t>
            </w:r>
          </w:p>
          <w:p w14:paraId="39FC087D" w14:textId="35A333DA" w:rsidR="00064BAB" w:rsidRPr="00064BAB" w:rsidRDefault="00064BAB" w:rsidP="00064BAB">
            <w:pPr>
              <w:widowControl/>
              <w:numPr>
                <w:ilvl w:val="0"/>
                <w:numId w:val="17"/>
              </w:numPr>
              <w:wordWrap/>
              <w:autoSpaceDE/>
              <w:autoSpaceDN/>
              <w:spacing w:afterLines="0" w:after="0"/>
              <w:jc w:val="left"/>
              <w:rPr>
                <w:rFonts w:ascii="Times" w:eastAsia="바탕" w:hAnsi="Times" w:cs="Times"/>
                <w:sz w:val="20"/>
                <w:szCs w:val="20"/>
                <w:lang w:val="en-GB"/>
              </w:rPr>
            </w:pPr>
            <w:r w:rsidRPr="00EC1615">
              <w:rPr>
                <w:rFonts w:ascii="Times" w:eastAsia="바탕" w:hAnsi="Times" w:cs="Times"/>
                <w:sz w:val="20"/>
                <w:szCs w:val="20"/>
                <w:lang w:val="en-GB"/>
              </w:rPr>
              <w:t xml:space="preserve">FFS: IAB-MT </w:t>
            </w:r>
            <w:proofErr w:type="spellStart"/>
            <w:r w:rsidRPr="00EC1615">
              <w:rPr>
                <w:rFonts w:ascii="Times" w:eastAsia="바탕" w:hAnsi="Times" w:cs="Times"/>
                <w:sz w:val="20"/>
                <w:szCs w:val="20"/>
                <w:lang w:val="en-GB"/>
              </w:rPr>
              <w:t>behavior</w:t>
            </w:r>
            <w:proofErr w:type="spellEnd"/>
            <w:r w:rsidRPr="00EC1615">
              <w:rPr>
                <w:rFonts w:ascii="Times" w:eastAsia="바탕" w:hAnsi="Times" w:cs="Times"/>
                <w:sz w:val="20"/>
                <w:szCs w:val="20"/>
                <w:lang w:val="en-GB"/>
              </w:rPr>
              <w:t xml:space="preserve"> in</w:t>
            </w:r>
            <w:r w:rsidRPr="00DB184C">
              <w:rPr>
                <w:rFonts w:ascii="Times" w:eastAsia="바탕" w:hAnsi="Times" w:cs="Times"/>
                <w:sz w:val="20"/>
                <w:szCs w:val="20"/>
                <w:lang w:val="en-GB"/>
              </w:rPr>
              <w:t xml:space="preserve"> case of conflicts between cell-specific signals/channels and other resource configurations of the IAB-MT (e.g., dedicated slot configurations)</w:t>
            </w:r>
          </w:p>
        </w:tc>
      </w:tr>
    </w:tbl>
    <w:p w14:paraId="7C1B0BAD" w14:textId="4F30A19D" w:rsidR="00064BAB" w:rsidRDefault="00064BAB" w:rsidP="001F6B73">
      <w:pPr>
        <w:spacing w:after="120"/>
      </w:pPr>
    </w:p>
    <w:p w14:paraId="17B4EC7D" w14:textId="716C0A9F" w:rsidR="008E29E9" w:rsidRDefault="00873126" w:rsidP="00873126">
      <w:pPr>
        <w:pStyle w:val="maintext"/>
        <w:ind w:firstLine="440"/>
      </w:pPr>
      <w:r>
        <w:t>From our understanding the IAB-MT behavior in case of conflicts between</w:t>
      </w:r>
      <w:r w:rsidRPr="00873126">
        <w:t xml:space="preserve"> cell-specific signals/channels and other resource configurations of the IAB-MT</w:t>
      </w:r>
      <w:r>
        <w:t xml:space="preserve"> needs to be defined </w:t>
      </w:r>
      <w:r w:rsidR="00E9458B">
        <w:t xml:space="preserve">differently per the supported duplexing mode (i.e. per TDM/FDM/SDM). </w:t>
      </w:r>
      <w:r w:rsidR="00AB274D">
        <w:t xml:space="preserve">For instance, </w:t>
      </w:r>
      <w:r w:rsidR="007203B0">
        <w:t>the parent node may not expect that the IAB-MT, which supports TDM only, will perform transmission or reception in the collision cases</w:t>
      </w:r>
      <w:r w:rsidR="00434E03">
        <w:t xml:space="preserve"> as it is in Rel-16</w:t>
      </w:r>
      <w:r w:rsidR="007203B0">
        <w:t xml:space="preserve">. </w:t>
      </w:r>
      <w:r w:rsidR="00434E03">
        <w:t>On the other hands, when the IAB node support SDM of DU and MT resources for example, prohibition of IAB-MT behaviour for cell-specific signals/channels will provide no gain but only performance degradation due to the restriction.</w:t>
      </w:r>
    </w:p>
    <w:p w14:paraId="59C1C2D1" w14:textId="795B9ECB" w:rsidR="00064BAB" w:rsidRDefault="00064BAB" w:rsidP="001F6B73">
      <w:pPr>
        <w:spacing w:after="120"/>
      </w:pPr>
    </w:p>
    <w:p w14:paraId="4AE7CDE7" w14:textId="2DAE074E" w:rsidR="00064BAB" w:rsidRPr="00873126" w:rsidRDefault="00434E03" w:rsidP="004D2ADF">
      <w:pPr>
        <w:spacing w:after="120"/>
        <w:ind w:left="330" w:hangingChars="150" w:hanging="330"/>
      </w:pPr>
      <w:r w:rsidRPr="00A66E58">
        <w:rPr>
          <w:rFonts w:hint="eastAsia"/>
          <w:b/>
        </w:rPr>
        <w:t>P</w:t>
      </w:r>
      <w:r w:rsidRPr="00A66E58">
        <w:rPr>
          <w:b/>
        </w:rPr>
        <w:t xml:space="preserve">roposal </w:t>
      </w:r>
      <w:r w:rsidR="004D2ADF">
        <w:rPr>
          <w:b/>
        </w:rPr>
        <w:t>5</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sidR="004D2ADF">
        <w:rPr>
          <w:b/>
        </w:rPr>
        <w:t>, when the IAB node supports SDM between DU and MT resources at least.</w:t>
      </w:r>
    </w:p>
    <w:p w14:paraId="227185D4" w14:textId="77777777" w:rsidR="004D2ADF" w:rsidRDefault="004D2ADF" w:rsidP="008545E0">
      <w:pPr>
        <w:pStyle w:val="maintext"/>
        <w:ind w:firstLine="440"/>
      </w:pPr>
    </w:p>
    <w:p w14:paraId="155B2212" w14:textId="036A5CAA" w:rsidR="006208E5" w:rsidRDefault="004F2D44" w:rsidP="008545E0">
      <w:pPr>
        <w:pStyle w:val="maintext"/>
        <w:ind w:firstLine="440"/>
      </w:pPr>
      <w:r>
        <w:rPr>
          <w:rFonts w:hint="eastAsia"/>
        </w:rPr>
        <w:t>I</w:t>
      </w:r>
      <w:r>
        <w:t xml:space="preserve">n Rel-16 </w:t>
      </w:r>
      <w:proofErr w:type="spellStart"/>
      <w:r>
        <w:t>mTRP</w:t>
      </w:r>
      <w:proofErr w:type="spellEnd"/>
      <w:r w:rsidR="008545E0">
        <w:t xml:space="preserve"> (multi-TRP)</w:t>
      </w:r>
      <w:r>
        <w:t xml:space="preserve">, </w:t>
      </w:r>
      <w:r w:rsidR="008545E0">
        <w:t>the calculation rules for B</w:t>
      </w:r>
      <w:r w:rsidR="00303292">
        <w:t>D</w:t>
      </w:r>
      <w:r w:rsidR="008545E0">
        <w:t xml:space="preserve">/CCE limits are enhanced due to the increasing DCI overhead to support multi-DCI based </w:t>
      </w:r>
      <w:proofErr w:type="spellStart"/>
      <w:r w:rsidR="008545E0">
        <w:t>mTRP</w:t>
      </w:r>
      <w:proofErr w:type="spellEnd"/>
      <w:r w:rsidR="008545E0">
        <w:t xml:space="preserve"> features. </w:t>
      </w:r>
      <w:r w:rsidR="00303292">
        <w:t xml:space="preserve">For example, Rel-16 </w:t>
      </w:r>
      <w:proofErr w:type="spellStart"/>
      <w:r w:rsidR="00303292">
        <w:t>gNB</w:t>
      </w:r>
      <w:proofErr w:type="spellEnd"/>
      <w:r w:rsidR="00303292">
        <w:t xml:space="preserve"> can configure a UE to </w:t>
      </w:r>
      <w:r w:rsidR="00EB218C">
        <w:t>consider</w:t>
      </w:r>
      <w:r w:rsidR="00303292">
        <w:t xml:space="preserve"> a cell as two different cells if the cell is configured with multi-DCI based </w:t>
      </w:r>
      <w:proofErr w:type="spellStart"/>
      <w:r w:rsidR="00303292">
        <w:t>mTRP</w:t>
      </w:r>
      <w:proofErr w:type="spellEnd"/>
      <w:r w:rsidR="00303292">
        <w:t xml:space="preserve"> (so the cell can double its BD/CCE budget).</w:t>
      </w:r>
      <w:r w:rsidR="00EB218C">
        <w:t xml:space="preserve"> Since </w:t>
      </w:r>
      <w:r w:rsidR="00C03C64">
        <w:t xml:space="preserve">Rel-17 </w:t>
      </w:r>
      <w:proofErr w:type="spellStart"/>
      <w:r w:rsidR="00C03C64">
        <w:t>eIAB</w:t>
      </w:r>
      <w:proofErr w:type="spellEnd"/>
      <w:r w:rsidR="00C03C64">
        <w:t xml:space="preserve"> </w:t>
      </w:r>
      <w:r w:rsidR="006F0398">
        <w:t xml:space="preserve">has similar demands to </w:t>
      </w:r>
      <w:r w:rsidR="00E91272">
        <w:t xml:space="preserve">have higher DCI overhead for various simultaneous operations including resource availability indication, DL power control, etc., it would be beneficial to study BD/CCE limits enhancement for </w:t>
      </w:r>
      <w:proofErr w:type="spellStart"/>
      <w:r w:rsidR="00E91272">
        <w:t>eIAB</w:t>
      </w:r>
      <w:proofErr w:type="spellEnd"/>
      <w:r w:rsidR="00E91272">
        <w:t xml:space="preserve"> as well. </w:t>
      </w:r>
      <w:r w:rsidR="00F264E3">
        <w:t xml:space="preserve">For instance, an IAB-MT can be configured to consider a cell with DU/MT simultaneous operations as &gt;1 </w:t>
      </w:r>
      <w:proofErr w:type="gramStart"/>
      <w:r w:rsidR="00F264E3">
        <w:t>cells</w:t>
      </w:r>
      <w:proofErr w:type="gramEnd"/>
      <w:r w:rsidR="00F264E3">
        <w:t xml:space="preserve"> while </w:t>
      </w:r>
      <w:r w:rsidR="00B02874">
        <w:t>a cell without simultaneous operations can still be taken into account as 1 cell.</w:t>
      </w:r>
    </w:p>
    <w:p w14:paraId="24909E32" w14:textId="5B11A114" w:rsidR="006208E5" w:rsidRDefault="006208E5" w:rsidP="001F6B73">
      <w:pPr>
        <w:spacing w:after="120"/>
      </w:pPr>
    </w:p>
    <w:p w14:paraId="4E5D6FF4" w14:textId="080C5CD8" w:rsidR="006208E5" w:rsidRDefault="00B02874" w:rsidP="00B02874">
      <w:pPr>
        <w:spacing w:after="120"/>
        <w:ind w:left="330" w:hangingChars="150" w:hanging="330"/>
      </w:pPr>
      <w:r w:rsidRPr="00B02874">
        <w:rPr>
          <w:rFonts w:hint="eastAsia"/>
          <w:b/>
        </w:rPr>
        <w:t>P</w:t>
      </w:r>
      <w:r w:rsidRPr="00B02874">
        <w:rPr>
          <w:b/>
        </w:rPr>
        <w:t xml:space="preserve">roposal </w:t>
      </w:r>
      <w:r w:rsidR="006037CB">
        <w:rPr>
          <w:b/>
        </w:rPr>
        <w:t>6</w:t>
      </w:r>
      <w:r w:rsidRPr="00B02874">
        <w:rPr>
          <w:b/>
        </w:rPr>
        <w:t>: Study BD/CCE limits enhancement to allocate more BD/CCE budgets for the cells with simultaneous operations</w:t>
      </w:r>
      <w:r>
        <w:t>.</w:t>
      </w:r>
    </w:p>
    <w:p w14:paraId="4B381ED8" w14:textId="7337A083" w:rsidR="00B02874" w:rsidRDefault="00B02874" w:rsidP="00B02874">
      <w:pPr>
        <w:spacing w:after="120"/>
        <w:ind w:left="330" w:hangingChars="150" w:hanging="330"/>
      </w:pPr>
    </w:p>
    <w:p w14:paraId="3815BA00" w14:textId="02ED5BB2" w:rsidR="00E13488" w:rsidRDefault="00E13488" w:rsidP="00E13488">
      <w:pPr>
        <w:pStyle w:val="2"/>
        <w:spacing w:after="120"/>
      </w:pPr>
      <w:r>
        <w:rPr>
          <w:rFonts w:hint="eastAsia"/>
        </w:rPr>
        <w:t>S</w:t>
      </w:r>
      <w:r>
        <w:t>upport of inter-carrier DC for multi-parent nodes</w:t>
      </w:r>
    </w:p>
    <w:p w14:paraId="1C842D63" w14:textId="741CC019" w:rsidR="000A2976" w:rsidRDefault="00733EAD" w:rsidP="00733EAD">
      <w:pPr>
        <w:pStyle w:val="maintext"/>
        <w:ind w:firstLine="440"/>
      </w:pPr>
      <w:r>
        <w:rPr>
          <w:rFonts w:hint="eastAsia"/>
        </w:rPr>
        <w:t>T</w:t>
      </w:r>
      <w:r>
        <w:t xml:space="preserve">he following agreements on inter-carrier DC scenarios for IAB had been made in RAN1#104-e </w:t>
      </w:r>
      <w:r>
        <w:fldChar w:fldCharType="begin"/>
      </w:r>
      <w:r>
        <w:instrText xml:space="preserve"> REF _Ref68252926 \r \h </w:instrText>
      </w:r>
      <w:r>
        <w:fldChar w:fldCharType="separate"/>
      </w:r>
      <w:r>
        <w:t>[2]</w:t>
      </w:r>
      <w:r>
        <w:fldChar w:fldCharType="end"/>
      </w:r>
      <w:r>
        <w:t>:</w:t>
      </w:r>
    </w:p>
    <w:p w14:paraId="71E82193" w14:textId="4B42798D" w:rsidR="006037CB" w:rsidRDefault="006037CB" w:rsidP="006037CB">
      <w:pPr>
        <w:pStyle w:val="a8"/>
        <w:keepNext/>
        <w:spacing w:after="120"/>
      </w:pPr>
      <w:r>
        <w:t xml:space="preserve">Table </w:t>
      </w:r>
      <w:r w:rsidR="0082459F">
        <w:fldChar w:fldCharType="begin"/>
      </w:r>
      <w:r w:rsidR="0082459F">
        <w:instrText xml:space="preserve"> SEQ Table \* ARABIC </w:instrText>
      </w:r>
      <w:r w:rsidR="0082459F">
        <w:fldChar w:fldCharType="separate"/>
      </w:r>
      <w:r w:rsidR="000E1753">
        <w:rPr>
          <w:noProof/>
        </w:rPr>
        <w:t>4</w:t>
      </w:r>
      <w:r w:rsidR="0082459F">
        <w:rPr>
          <w:noProof/>
        </w:rPr>
        <w:fldChar w:fldCharType="end"/>
      </w:r>
      <w:r>
        <w:t xml:space="preserve">. </w:t>
      </w:r>
      <w:r w:rsidR="00733EAD">
        <w:t>Agreements from RAN1#104-e</w:t>
      </w:r>
    </w:p>
    <w:tbl>
      <w:tblPr>
        <w:tblStyle w:val="a6"/>
        <w:tblW w:w="0" w:type="auto"/>
        <w:tblLook w:val="04A0" w:firstRow="1" w:lastRow="0" w:firstColumn="1" w:lastColumn="0" w:noHBand="0" w:noVBand="1"/>
      </w:tblPr>
      <w:tblGrid>
        <w:gridCol w:w="9736"/>
      </w:tblGrid>
      <w:tr w:rsidR="000A2976" w:rsidRPr="00C21AD7" w14:paraId="6772C87B" w14:textId="77777777" w:rsidTr="006037CB">
        <w:tc>
          <w:tcPr>
            <w:tcW w:w="9736" w:type="dxa"/>
          </w:tcPr>
          <w:p w14:paraId="287EDC0D" w14:textId="77777777" w:rsidR="000A2976" w:rsidRPr="00DB184C" w:rsidRDefault="000A2976" w:rsidP="006037CB">
            <w:pPr>
              <w:widowControl/>
              <w:wordWrap/>
              <w:autoSpaceDE/>
              <w:autoSpaceDN/>
              <w:spacing w:afterLines="0" w:after="0"/>
              <w:jc w:val="left"/>
              <w:rPr>
                <w:rFonts w:ascii="Times" w:eastAsia="바탕" w:hAnsi="Times" w:cs="Times"/>
                <w:b/>
                <w:bCs/>
                <w:sz w:val="20"/>
                <w:szCs w:val="20"/>
                <w:lang w:val="en-GB"/>
              </w:rPr>
            </w:pPr>
            <w:r w:rsidRPr="00DB184C">
              <w:rPr>
                <w:rFonts w:ascii="Times" w:eastAsia="바탕" w:hAnsi="Times" w:cs="Times"/>
                <w:b/>
                <w:bCs/>
                <w:sz w:val="20"/>
                <w:szCs w:val="20"/>
                <w:highlight w:val="green"/>
                <w:lang w:val="en-GB"/>
              </w:rPr>
              <w:t>Agreement</w:t>
            </w:r>
          </w:p>
          <w:p w14:paraId="25CCB4F8" w14:textId="77777777" w:rsidR="000A2976" w:rsidRPr="00DB184C" w:rsidRDefault="000A2976" w:rsidP="006037CB">
            <w:pPr>
              <w:widowControl/>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The following are considered to support at least inter-band inter-carrier scenarios in Rel-17:</w:t>
            </w:r>
          </w:p>
          <w:p w14:paraId="39474431"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Solutions to address resource coordination/scheduling collision issues between parent nodes including TDD configurations and resource type indications at least in case of intra-donor CU multi-parent scenarios </w:t>
            </w:r>
          </w:p>
          <w:p w14:paraId="7E0FEB2E"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Consider Rel-16 CA framework as starting point</w:t>
            </w:r>
          </w:p>
          <w:p w14:paraId="43BE4CAE"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Solutions for scheduling collision between two parent DUs due to indication of the resource availability for soft symbol(s) to the IAB-DU(s) by DCI format 2_5</w:t>
            </w:r>
          </w:p>
          <w:p w14:paraId="76908A8C"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Solutions for scheduling collision between two parent DUs due to indication of the slot format by DCI format 2_0</w:t>
            </w:r>
          </w:p>
          <w:p w14:paraId="222006CF"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Whether or not separate solutions are required for resource coordination in case of inter-donor CU multi-parent scenarios</w:t>
            </w:r>
          </w:p>
          <w:p w14:paraId="41B2070B"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Per-backhaul link (e.g. per child IAB-MT link) resource configurations in addition to per-DU resource configurations</w:t>
            </w:r>
          </w:p>
          <w:p w14:paraId="65C514A6"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Enhancements to indication of soft resource availability from child node to parent node(s)</w:t>
            </w:r>
          </w:p>
          <w:p w14:paraId="54B61479"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Additional restrictions on simultaneous operation and/or multiplexing</w:t>
            </w:r>
          </w:p>
          <w:p w14:paraId="7B2221AC" w14:textId="0C063D99" w:rsidR="000A2976" w:rsidRPr="00C07E78" w:rsidRDefault="000A2976" w:rsidP="00C07E78">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tc>
      </w:tr>
    </w:tbl>
    <w:p w14:paraId="16833A14" w14:textId="308EEF98" w:rsidR="000A2976" w:rsidRDefault="000A2976" w:rsidP="00B02874">
      <w:pPr>
        <w:spacing w:after="120"/>
        <w:ind w:left="330" w:hangingChars="150" w:hanging="330"/>
      </w:pPr>
    </w:p>
    <w:p w14:paraId="188CAF6D" w14:textId="534588B7" w:rsidR="000E1753" w:rsidRDefault="009742B7" w:rsidP="004A2C38">
      <w:pPr>
        <w:pStyle w:val="maintext"/>
        <w:ind w:firstLine="440"/>
      </w:pPr>
      <w:r>
        <w:t xml:space="preserve">Prior to compare each solution for the coordination / scheduling collision issues, we think it is required to have more alignment on the detailed DC scenarios among companies. </w:t>
      </w:r>
      <w:r>
        <w:fldChar w:fldCharType="begin"/>
      </w:r>
      <w:r>
        <w:instrText xml:space="preserve"> REF _Ref68267398 \h </w:instrText>
      </w:r>
      <w:r>
        <w:fldChar w:fldCharType="separate"/>
      </w:r>
      <w:r>
        <w:t xml:space="preserve">Figure </w:t>
      </w:r>
      <w:r>
        <w:rPr>
          <w:noProof/>
        </w:rPr>
        <w:t>2</w:t>
      </w:r>
      <w:r>
        <w:fldChar w:fldCharType="end"/>
      </w:r>
      <w:r>
        <w:t xml:space="preserve"> depicts two types of possible DC configurations among IAB nodes. In </w:t>
      </w:r>
      <w:r>
        <w:fldChar w:fldCharType="begin"/>
      </w:r>
      <w:r>
        <w:instrText xml:space="preserve"> REF _Ref68267398 \h </w:instrText>
      </w:r>
      <w:r>
        <w:fldChar w:fldCharType="separate"/>
      </w:r>
      <w:r>
        <w:t xml:space="preserve">Figure </w:t>
      </w:r>
      <w:r>
        <w:rPr>
          <w:noProof/>
        </w:rPr>
        <w:t>2</w:t>
      </w:r>
      <w:r>
        <w:fldChar w:fldCharType="end"/>
      </w:r>
      <w:r>
        <w:t>a (i.e. case #1), the IAB-MT has two parent DUs through inter-band inter-carrier DC while the IAB-DU establishes a single set of cells to the MT of child node within a single band</w:t>
      </w:r>
      <w:r w:rsidR="00AA7EE6">
        <w:t xml:space="preserve"> (i.e. without configuring DC for the child node)</w:t>
      </w:r>
      <w:r>
        <w:t xml:space="preserve">. </w:t>
      </w:r>
      <w:r w:rsidR="008F30EB">
        <w:t xml:space="preserve">If this is the majority case to support dual parent DUs, then the above issues on coordination / scheduling issues may have high priority in the upcoming RAN1 discussions. However, from our understanding the motivation to configure </w:t>
      </w:r>
      <w:r w:rsidR="008F30EB">
        <w:fldChar w:fldCharType="begin"/>
      </w:r>
      <w:r w:rsidR="008F30EB">
        <w:instrText xml:space="preserve"> REF _Ref68267398 \h </w:instrText>
      </w:r>
      <w:r w:rsidR="008F30EB">
        <w:fldChar w:fldCharType="separate"/>
      </w:r>
      <w:r w:rsidR="008F30EB">
        <w:t xml:space="preserve">Figure </w:t>
      </w:r>
      <w:r w:rsidR="008F30EB">
        <w:rPr>
          <w:noProof/>
        </w:rPr>
        <w:t>2</w:t>
      </w:r>
      <w:r w:rsidR="008F30EB">
        <w:fldChar w:fldCharType="end"/>
      </w:r>
      <w:r w:rsidR="008F30EB">
        <w:t xml:space="preserve">a (case #1) for dual parent DUs is not that clear, since the network is aware of </w:t>
      </w:r>
      <w:r w:rsidR="00AA7EE6">
        <w:t xml:space="preserve">coordination / scheduling collision issues already. On the other hands, </w:t>
      </w:r>
      <w:r w:rsidR="00AA7EE6">
        <w:fldChar w:fldCharType="begin"/>
      </w:r>
      <w:r w:rsidR="00AA7EE6">
        <w:instrText xml:space="preserve"> REF _Ref68267398 \h </w:instrText>
      </w:r>
      <w:r w:rsidR="00AA7EE6">
        <w:fldChar w:fldCharType="separate"/>
      </w:r>
      <w:r w:rsidR="00AA7EE6">
        <w:t xml:space="preserve">Figure </w:t>
      </w:r>
      <w:r w:rsidR="00AA7EE6">
        <w:rPr>
          <w:noProof/>
        </w:rPr>
        <w:t>2</w:t>
      </w:r>
      <w:r w:rsidR="00AA7EE6">
        <w:fldChar w:fldCharType="end"/>
      </w:r>
      <w:r w:rsidR="00AA7EE6">
        <w:t xml:space="preserve">b (case #2) represents the case that </w:t>
      </w:r>
      <w:r w:rsidR="000D582C">
        <w:t>the IAB-MT has two parent DUs through inter-band inter-carrier DC as well as the IAB-DU also configures DC to the MT of child node.</w:t>
      </w:r>
      <w:r w:rsidR="004A2C38">
        <w:t xml:space="preserve"> In this case, it seems that all the issues can be resolved by a simple change as proposed by </w:t>
      </w:r>
      <w:r w:rsidR="004A2C38">
        <w:fldChar w:fldCharType="begin"/>
      </w:r>
      <w:r w:rsidR="004A2C38">
        <w:instrText xml:space="preserve"> REF _Ref68268322 \h </w:instrText>
      </w:r>
      <w:r w:rsidR="004A2C38">
        <w:fldChar w:fldCharType="separate"/>
      </w:r>
      <w:r w:rsidR="004A2C38">
        <w:t xml:space="preserve">Table </w:t>
      </w:r>
      <w:r w:rsidR="004A2C38">
        <w:rPr>
          <w:noProof/>
        </w:rPr>
        <w:t>5</w:t>
      </w:r>
      <w:r w:rsidR="004A2C38">
        <w:fldChar w:fldCharType="end"/>
      </w:r>
      <w:r w:rsidR="004A2C38">
        <w:t>.</w:t>
      </w:r>
    </w:p>
    <w:p w14:paraId="18B6E073" w14:textId="77777777" w:rsidR="009742B7" w:rsidRDefault="009742B7" w:rsidP="009742B7">
      <w:pPr>
        <w:spacing w:after="120"/>
        <w:ind w:left="330" w:hangingChars="150" w:hanging="330"/>
      </w:pPr>
    </w:p>
    <w:p w14:paraId="3ACD5F70" w14:textId="77777777" w:rsidR="009742B7" w:rsidRDefault="009742B7" w:rsidP="009742B7">
      <w:pPr>
        <w:keepNext/>
        <w:spacing w:after="120"/>
        <w:ind w:left="330" w:hangingChars="150" w:hanging="330"/>
        <w:jc w:val="center"/>
      </w:pPr>
      <w:r>
        <w:rPr>
          <w:noProof/>
        </w:rPr>
        <w:drawing>
          <wp:inline distT="0" distB="0" distL="0" distR="0" wp14:anchorId="06731C4C" wp14:editId="09113BBF">
            <wp:extent cx="6102000" cy="3096000"/>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2000" cy="3096000"/>
                    </a:xfrm>
                    <a:prstGeom prst="rect">
                      <a:avLst/>
                    </a:prstGeom>
                    <a:noFill/>
                  </pic:spPr>
                </pic:pic>
              </a:graphicData>
            </a:graphic>
          </wp:inline>
        </w:drawing>
      </w:r>
    </w:p>
    <w:p w14:paraId="73D32659" w14:textId="77777777" w:rsidR="009742B7" w:rsidRDefault="009742B7" w:rsidP="009742B7">
      <w:pPr>
        <w:pStyle w:val="a8"/>
        <w:spacing w:after="120"/>
        <w:jc w:val="center"/>
      </w:pPr>
      <w:bookmarkStart w:id="8" w:name="_Ref68267398"/>
      <w:r>
        <w:t xml:space="preserve">Figure </w:t>
      </w:r>
      <w:r w:rsidR="0082459F">
        <w:fldChar w:fldCharType="begin"/>
      </w:r>
      <w:r w:rsidR="0082459F">
        <w:instrText xml:space="preserve"> SEQ Figure \* ARABIC </w:instrText>
      </w:r>
      <w:r w:rsidR="0082459F">
        <w:fldChar w:fldCharType="separate"/>
      </w:r>
      <w:r>
        <w:rPr>
          <w:noProof/>
        </w:rPr>
        <w:t>2</w:t>
      </w:r>
      <w:r w:rsidR="0082459F">
        <w:rPr>
          <w:noProof/>
        </w:rPr>
        <w:fldChar w:fldCharType="end"/>
      </w:r>
      <w:bookmarkEnd w:id="8"/>
      <w:r>
        <w:t>. Possible cases for inter-band inter-carrier DC in IAB</w:t>
      </w:r>
    </w:p>
    <w:p w14:paraId="075E60BD" w14:textId="77777777" w:rsidR="009742B7" w:rsidRDefault="009742B7" w:rsidP="00B02874">
      <w:pPr>
        <w:spacing w:after="120"/>
        <w:ind w:left="330" w:hangingChars="150" w:hanging="330"/>
      </w:pPr>
    </w:p>
    <w:p w14:paraId="248008A8" w14:textId="14A93CF1" w:rsidR="000E1753" w:rsidRDefault="000E1753" w:rsidP="000E1753">
      <w:pPr>
        <w:pStyle w:val="a8"/>
        <w:keepNext/>
        <w:spacing w:after="120"/>
      </w:pPr>
      <w:bookmarkStart w:id="9" w:name="_Ref68268322"/>
      <w:r>
        <w:t xml:space="preserve">Table </w:t>
      </w:r>
      <w:r w:rsidR="0082459F">
        <w:fldChar w:fldCharType="begin"/>
      </w:r>
      <w:r w:rsidR="0082459F">
        <w:instrText xml:space="preserve"> SEQ Table \* ARABIC </w:instrText>
      </w:r>
      <w:r w:rsidR="0082459F">
        <w:fldChar w:fldCharType="separate"/>
      </w:r>
      <w:r>
        <w:rPr>
          <w:noProof/>
        </w:rPr>
        <w:t>5</w:t>
      </w:r>
      <w:r w:rsidR="0082459F">
        <w:rPr>
          <w:noProof/>
        </w:rPr>
        <w:fldChar w:fldCharType="end"/>
      </w:r>
      <w:bookmarkEnd w:id="9"/>
      <w:r>
        <w:t xml:space="preserve">. </w:t>
      </w:r>
      <w:r w:rsidR="00596E29">
        <w:t xml:space="preserve">TP for </w:t>
      </w:r>
      <w:r w:rsidR="000A2228">
        <w:t>clause 14 in TS38.213</w:t>
      </w:r>
    </w:p>
    <w:tbl>
      <w:tblPr>
        <w:tblStyle w:val="a6"/>
        <w:tblW w:w="0" w:type="auto"/>
        <w:tblInd w:w="-5" w:type="dxa"/>
        <w:tblLook w:val="04A0" w:firstRow="1" w:lastRow="0" w:firstColumn="1" w:lastColumn="0" w:noHBand="0" w:noVBand="1"/>
      </w:tblPr>
      <w:tblGrid>
        <w:gridCol w:w="9741"/>
      </w:tblGrid>
      <w:tr w:rsidR="00F70A2C" w14:paraId="2F60E548" w14:textId="77777777" w:rsidTr="00F70A2C">
        <w:tc>
          <w:tcPr>
            <w:tcW w:w="9741" w:type="dxa"/>
          </w:tcPr>
          <w:p w14:paraId="4B6651E7" w14:textId="3A65ADF9" w:rsidR="00F70A2C" w:rsidRDefault="0057278D" w:rsidP="000A2228">
            <w:pPr>
              <w:pStyle w:val="maintext"/>
              <w:ind w:firstLineChars="0" w:firstLine="0"/>
            </w:pPr>
            <w:r w:rsidRPr="0057278D">
              <w:rPr>
                <w:lang w:eastAsia="en-US"/>
              </w:rPr>
              <w:t>If a PDCCH monitoring periodicity for DCI format 2_5</w:t>
            </w:r>
            <w:r w:rsidRPr="0057278D">
              <w:rPr>
                <w:i/>
                <w:lang w:eastAsia="en-US"/>
              </w:rPr>
              <w:t xml:space="preserve"> </w:t>
            </w:r>
            <w:r w:rsidRPr="0057278D">
              <w:rPr>
                <w:lang w:eastAsia="en-US"/>
              </w:rPr>
              <w:t>is smaller than a duration of an availability combination of soft symbols over a number of slots that the IAB-MT obtains at a PDCCH monitoring occasion for DCI format 2_5 by a corresponding AI index field value, and the IAB-MT detects more than one DCI formats 2_5 indicating an availability combination of soft symbols in a slot</w:t>
            </w:r>
            <w:r w:rsidR="00390838">
              <w:rPr>
                <w:lang w:eastAsia="en-US"/>
              </w:rPr>
              <w:t xml:space="preserve"> </w:t>
            </w:r>
            <w:r w:rsidR="00390838" w:rsidRPr="00390838">
              <w:rPr>
                <w:color w:val="FF0000"/>
                <w:lang w:eastAsia="en-US"/>
              </w:rPr>
              <w:t>in a cell group</w:t>
            </w:r>
            <w:r w:rsidRPr="0057278D">
              <w:rPr>
                <w:lang w:eastAsia="en-US"/>
              </w:rPr>
              <w:t>, the IAB-MT expects that each of the more than one DCI formats 2_5 indicates a same value for the availability combination of the soft symbols in the slot</w:t>
            </w:r>
            <w:r w:rsidR="00390838">
              <w:rPr>
                <w:lang w:eastAsia="en-US"/>
              </w:rPr>
              <w:t xml:space="preserve"> </w:t>
            </w:r>
            <w:r w:rsidR="00390838" w:rsidRPr="00390838">
              <w:rPr>
                <w:color w:val="FF0000"/>
                <w:lang w:eastAsia="en-US"/>
              </w:rPr>
              <w:t>in the cell group</w:t>
            </w:r>
            <w:r w:rsidRPr="0057278D">
              <w:rPr>
                <w:lang w:eastAsia="en-US"/>
              </w:rPr>
              <w:t>.</w:t>
            </w:r>
          </w:p>
        </w:tc>
      </w:tr>
    </w:tbl>
    <w:p w14:paraId="23E50442" w14:textId="7F2413CD" w:rsidR="00E13488" w:rsidRDefault="00E13488" w:rsidP="00B02874">
      <w:pPr>
        <w:spacing w:after="120"/>
        <w:ind w:left="330" w:hangingChars="150" w:hanging="330"/>
      </w:pPr>
    </w:p>
    <w:p w14:paraId="4A8328FA" w14:textId="6A52AF54" w:rsidR="00EC1615" w:rsidRDefault="00EC1615" w:rsidP="00EC1615">
      <w:pPr>
        <w:spacing w:after="120"/>
        <w:ind w:left="330" w:hangingChars="150" w:hanging="330"/>
      </w:pPr>
      <w:r w:rsidRPr="00B02874">
        <w:rPr>
          <w:rFonts w:hint="eastAsia"/>
          <w:b/>
        </w:rPr>
        <w:t>P</w:t>
      </w:r>
      <w:r w:rsidRPr="00B02874">
        <w:rPr>
          <w:b/>
        </w:rPr>
        <w:t xml:space="preserve">roposal </w:t>
      </w:r>
      <w:r>
        <w:rPr>
          <w:b/>
        </w:rPr>
        <w:t>7</w:t>
      </w:r>
      <w:r w:rsidRPr="00B02874">
        <w:rPr>
          <w:b/>
        </w:rPr>
        <w:t xml:space="preserve">: </w:t>
      </w:r>
      <w:r>
        <w:rPr>
          <w:b/>
        </w:rPr>
        <w:t>Clarify the target scenarios for inter-band inter-carrier DC to support dual parents among the following options</w:t>
      </w:r>
      <w:r>
        <w:t>.</w:t>
      </w:r>
    </w:p>
    <w:p w14:paraId="011D14D1" w14:textId="6C5B0CEB" w:rsidR="00EC1615" w:rsidRPr="00EC1615" w:rsidRDefault="00EC1615" w:rsidP="00EC1615">
      <w:pPr>
        <w:pStyle w:val="a7"/>
        <w:numPr>
          <w:ilvl w:val="0"/>
          <w:numId w:val="21"/>
        </w:numPr>
        <w:spacing w:after="120"/>
        <w:ind w:leftChars="0"/>
        <w:rPr>
          <w:b/>
        </w:rPr>
      </w:pPr>
      <w:r w:rsidRPr="00EC1615">
        <w:rPr>
          <w:rFonts w:hint="eastAsia"/>
          <w:b/>
        </w:rPr>
        <w:t>C</w:t>
      </w:r>
      <w:r w:rsidRPr="00EC1615">
        <w:rPr>
          <w:b/>
        </w:rPr>
        <w:t>ase #1: The IAB-MT has two parent DUs through inter-band inter-carrier DC while the IAB-DU establishes a single set of cells to the MT of child node within a single band (i.e. without configuring DC for the child node).</w:t>
      </w:r>
    </w:p>
    <w:p w14:paraId="76004995" w14:textId="15E0C7DB" w:rsidR="00EC1615" w:rsidRPr="00EC1615" w:rsidRDefault="00EC1615" w:rsidP="00EC1615">
      <w:pPr>
        <w:pStyle w:val="a7"/>
        <w:numPr>
          <w:ilvl w:val="0"/>
          <w:numId w:val="21"/>
        </w:numPr>
        <w:spacing w:after="120"/>
        <w:ind w:leftChars="0"/>
        <w:rPr>
          <w:b/>
        </w:rPr>
      </w:pPr>
      <w:r w:rsidRPr="00EC1615">
        <w:rPr>
          <w:rFonts w:hint="eastAsia"/>
          <w:b/>
        </w:rPr>
        <w:t>C</w:t>
      </w:r>
      <w:r w:rsidRPr="00EC1615">
        <w:rPr>
          <w:b/>
        </w:rPr>
        <w:t xml:space="preserve">ase #2: The IAB-MT has two parent DUs through inter-band inter-carrier DC </w:t>
      </w:r>
      <w:r>
        <w:rPr>
          <w:b/>
        </w:rPr>
        <w:t>and</w:t>
      </w:r>
      <w:r w:rsidRPr="00EC1615">
        <w:rPr>
          <w:b/>
        </w:rPr>
        <w:t xml:space="preserve"> the IAB-DU also configures DC to the MT of child node.</w:t>
      </w:r>
    </w:p>
    <w:p w14:paraId="2777450E" w14:textId="5A854712" w:rsidR="00EC1615" w:rsidRDefault="00EC1615" w:rsidP="00B02874">
      <w:pPr>
        <w:spacing w:after="120"/>
        <w:ind w:left="330" w:hangingChars="150" w:hanging="330"/>
      </w:pPr>
    </w:p>
    <w:p w14:paraId="46046158" w14:textId="08B4A7BC" w:rsidR="00EC1615" w:rsidRDefault="00EC1615" w:rsidP="00B02874">
      <w:pPr>
        <w:spacing w:after="120"/>
        <w:ind w:left="330" w:hangingChars="150" w:hanging="330"/>
      </w:pPr>
      <w:r w:rsidRPr="00B02874">
        <w:rPr>
          <w:rFonts w:hint="eastAsia"/>
          <w:b/>
        </w:rPr>
        <w:t>P</w:t>
      </w:r>
      <w:r w:rsidRPr="00B02874">
        <w:rPr>
          <w:b/>
        </w:rPr>
        <w:t xml:space="preserve">roposal </w:t>
      </w:r>
      <w:r>
        <w:rPr>
          <w:b/>
        </w:rPr>
        <w:t>8</w:t>
      </w:r>
      <w:r w:rsidRPr="00B02874">
        <w:rPr>
          <w:b/>
        </w:rPr>
        <w:t xml:space="preserve">: </w:t>
      </w:r>
      <w:r>
        <w:rPr>
          <w:b/>
        </w:rPr>
        <w:t>If Case #2 in proposal 7 is the target scenario, then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Pr="00EC1615">
        <w:rPr>
          <w:b/>
        </w:rPr>
        <w:t xml:space="preserve">Table </w:t>
      </w:r>
      <w:r w:rsidRPr="00EC1615">
        <w:rPr>
          <w:b/>
          <w:noProof/>
        </w:rPr>
        <w:t>5</w:t>
      </w:r>
      <w:r w:rsidRPr="00EC1615">
        <w:rPr>
          <w:b/>
        </w:rPr>
        <w:fldChar w:fldCharType="end"/>
      </w:r>
      <w:r>
        <w:rPr>
          <w:b/>
        </w:rPr>
        <w:t>.</w:t>
      </w:r>
    </w:p>
    <w:p w14:paraId="54584AFA" w14:textId="77777777" w:rsidR="00EC1615" w:rsidRPr="00EC1615" w:rsidRDefault="00EC1615" w:rsidP="00B02874">
      <w:pPr>
        <w:spacing w:after="120"/>
        <w:ind w:left="330" w:hangingChars="150" w:hanging="330"/>
      </w:pPr>
    </w:p>
    <w:p w14:paraId="476D1A78" w14:textId="590B25D3" w:rsidR="00DB2605" w:rsidRDefault="00677C33" w:rsidP="00947E6C">
      <w:pPr>
        <w:pStyle w:val="2"/>
        <w:spacing w:after="120"/>
      </w:pPr>
      <w:r>
        <w:rPr>
          <w:rFonts w:hint="eastAsia"/>
        </w:rPr>
        <w:t>S</w:t>
      </w:r>
      <w:r>
        <w:t>upport of intra-carrier DC for multi-parent nodes</w:t>
      </w:r>
    </w:p>
    <w:p w14:paraId="0E7FADDF" w14:textId="4DECD1B6" w:rsidR="00DB2605" w:rsidRDefault="006E7AA9" w:rsidP="006E7AA9">
      <w:pPr>
        <w:pStyle w:val="maintext"/>
        <w:ind w:firstLine="440"/>
      </w:pPr>
      <w:r>
        <w:rPr>
          <w:rFonts w:hint="eastAsia"/>
        </w:rPr>
        <w:t>T</w:t>
      </w:r>
      <w:r>
        <w:t xml:space="preserve">he following agreements and FFS points on </w:t>
      </w:r>
      <w:r w:rsidR="004A6157">
        <w:t xml:space="preserve">DC scenarios for </w:t>
      </w:r>
      <w:r>
        <w:t xml:space="preserve">IAB had been made in RAN1#103-e and RAN#90-e meetings </w:t>
      </w:r>
      <w:r>
        <w:fldChar w:fldCharType="begin"/>
      </w:r>
      <w:r>
        <w:instrText xml:space="preserve"> REF _Ref61254254 \r \h </w:instrText>
      </w:r>
      <w:r>
        <w:fldChar w:fldCharType="separate"/>
      </w:r>
      <w:r w:rsidR="008E29E9">
        <w:t>[1]</w:t>
      </w:r>
      <w:r>
        <w:fldChar w:fldCharType="end"/>
      </w:r>
      <w:r>
        <w:t xml:space="preserve">, </w:t>
      </w:r>
      <w:r>
        <w:fldChar w:fldCharType="begin"/>
      </w:r>
      <w:r>
        <w:instrText xml:space="preserve"> REF _Ref61270321 \r \h </w:instrText>
      </w:r>
      <w:r>
        <w:fldChar w:fldCharType="separate"/>
      </w:r>
      <w:r w:rsidR="008E29E9">
        <w:t>[4]</w:t>
      </w:r>
      <w:r>
        <w:fldChar w:fldCharType="end"/>
      </w:r>
      <w:r>
        <w:t>:</w:t>
      </w:r>
    </w:p>
    <w:p w14:paraId="1E8E2105" w14:textId="6EA5E12A" w:rsidR="00C615C7" w:rsidRDefault="00C615C7" w:rsidP="00C615C7">
      <w:pPr>
        <w:pStyle w:val="a8"/>
        <w:keepNext/>
        <w:spacing w:after="120"/>
      </w:pPr>
      <w:r>
        <w:lastRenderedPageBreak/>
        <w:t xml:space="preserve">Table </w:t>
      </w:r>
      <w:r w:rsidR="0082459F">
        <w:fldChar w:fldCharType="begin"/>
      </w:r>
      <w:r w:rsidR="0082459F">
        <w:instrText xml:space="preserve"> SEQ Table \* ARABIC </w:instrText>
      </w:r>
      <w:r w:rsidR="0082459F">
        <w:fldChar w:fldCharType="separate"/>
      </w:r>
      <w:r w:rsidR="000E1753">
        <w:rPr>
          <w:noProof/>
        </w:rPr>
        <w:t>6</w:t>
      </w:r>
      <w:r w:rsidR="0082459F">
        <w:rPr>
          <w:noProof/>
        </w:rPr>
        <w:fldChar w:fldCharType="end"/>
      </w:r>
      <w:r>
        <w:t>. Agreements from RAN1#103-e</w:t>
      </w:r>
    </w:p>
    <w:tbl>
      <w:tblPr>
        <w:tblStyle w:val="a6"/>
        <w:tblW w:w="0" w:type="auto"/>
        <w:tblLook w:val="04A0" w:firstRow="1" w:lastRow="0" w:firstColumn="1" w:lastColumn="0" w:noHBand="0" w:noVBand="1"/>
      </w:tblPr>
      <w:tblGrid>
        <w:gridCol w:w="9736"/>
      </w:tblGrid>
      <w:tr w:rsidR="00C615C7" w14:paraId="3A88F39C" w14:textId="77777777" w:rsidTr="00C615C7">
        <w:tc>
          <w:tcPr>
            <w:tcW w:w="9736" w:type="dxa"/>
          </w:tcPr>
          <w:p w14:paraId="2FFFDF50" w14:textId="77777777" w:rsidR="00C615C7" w:rsidRPr="00C615C7" w:rsidRDefault="00C615C7" w:rsidP="00C615C7">
            <w:pPr>
              <w:widowControl/>
              <w:wordWrap/>
              <w:autoSpaceDE/>
              <w:autoSpaceDN/>
              <w:spacing w:afterLines="0" w:after="120" w:line="256" w:lineRule="auto"/>
              <w:jc w:val="left"/>
              <w:rPr>
                <w:rFonts w:ascii="굴림" w:eastAsia="굴림" w:hAnsi="굴림" w:cs="굴림"/>
                <w:sz w:val="20"/>
                <w:szCs w:val="24"/>
              </w:rPr>
            </w:pPr>
            <w:r w:rsidRPr="00C615C7">
              <w:rPr>
                <w:rFonts w:eastAsia="Calibri" w:cs="Times"/>
                <w:b/>
                <w:bCs/>
                <w:color w:val="000000"/>
                <w:szCs w:val="28"/>
                <w:highlight w:val="green"/>
              </w:rPr>
              <w:t>Agreement</w:t>
            </w:r>
          </w:p>
          <w:p w14:paraId="0626DA48"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olor w:val="000000"/>
                <w:szCs w:val="28"/>
              </w:rPr>
              <w:t xml:space="preserve">From a RAN1 </w:t>
            </w:r>
            <w:r w:rsidRPr="00C615C7">
              <w:rPr>
                <w:rFonts w:eastAsia="Times New Roman"/>
                <w:szCs w:val="28"/>
              </w:rPr>
              <w:t xml:space="preserve">perspective, at least </w:t>
            </w:r>
            <w:r w:rsidRPr="00C615C7">
              <w:rPr>
                <w:rFonts w:eastAsia="Calibri" w:cs="Times"/>
                <w:bCs/>
                <w:szCs w:val="28"/>
              </w:rPr>
              <w:t>intra-donor multi-parent operation is supported</w:t>
            </w:r>
            <w:r w:rsidRPr="00C615C7">
              <w:rPr>
                <w:rFonts w:eastAsia="Times New Roman"/>
                <w:szCs w:val="28"/>
              </w:rPr>
              <w:t xml:space="preserve"> in </w:t>
            </w:r>
            <w:r w:rsidRPr="00C615C7">
              <w:rPr>
                <w:rFonts w:eastAsia="Times New Roman"/>
                <w:color w:val="000000"/>
                <w:szCs w:val="28"/>
              </w:rPr>
              <w:t xml:space="preserve">Rel-17 </w:t>
            </w:r>
          </w:p>
          <w:p w14:paraId="1B90A3F2" w14:textId="77777777" w:rsidR="00C615C7" w:rsidRPr="00C615C7" w:rsidRDefault="00C615C7" w:rsidP="006A6EA3">
            <w:pPr>
              <w:widowControl/>
              <w:numPr>
                <w:ilvl w:val="0"/>
                <w:numId w:val="10"/>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color w:val="000000"/>
                <w:szCs w:val="28"/>
              </w:rPr>
              <w:t>FFS: Inter-donor operation pending additional input from RAN2/RAN3</w:t>
            </w:r>
          </w:p>
          <w:p w14:paraId="16EE3FB3"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바탕"/>
                <w:color w:val="000000"/>
                <w:szCs w:val="28"/>
              </w:rPr>
              <w:t> </w:t>
            </w:r>
          </w:p>
          <w:p w14:paraId="4D0E8620"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s="Times"/>
                <w:b/>
                <w:bCs/>
                <w:color w:val="000000"/>
                <w:szCs w:val="28"/>
                <w:highlight w:val="green"/>
              </w:rPr>
              <w:t>Agreement</w:t>
            </w:r>
          </w:p>
          <w:p w14:paraId="413C5A22"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olor w:val="000000"/>
                <w:szCs w:val="28"/>
              </w:rPr>
              <w:t xml:space="preserve">From a RAN1 perspective, resource multiplexing and coordination is supported for </w:t>
            </w:r>
            <w:r w:rsidRPr="00C615C7">
              <w:rPr>
                <w:rFonts w:eastAsia="Times New Roman"/>
                <w:szCs w:val="28"/>
              </w:rPr>
              <w:t xml:space="preserve">the following </w:t>
            </w:r>
            <w:r w:rsidRPr="00C615C7">
              <w:rPr>
                <w:rFonts w:eastAsia="Calibri" w:cs="Times"/>
                <w:bCs/>
                <w:szCs w:val="28"/>
              </w:rPr>
              <w:t>DC scenarios</w:t>
            </w:r>
            <w:r w:rsidRPr="00C615C7">
              <w:rPr>
                <w:rFonts w:eastAsia="Times New Roman"/>
                <w:szCs w:val="28"/>
              </w:rPr>
              <w:t xml:space="preserve"> in Rel-17.</w:t>
            </w:r>
          </w:p>
          <w:p w14:paraId="435AA264" w14:textId="77777777" w:rsidR="00C615C7" w:rsidRPr="00C615C7" w:rsidRDefault="00C615C7" w:rsidP="006A6EA3">
            <w:pPr>
              <w:widowControl/>
              <w:numPr>
                <w:ilvl w:val="0"/>
                <w:numId w:val="11"/>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color w:val="000000"/>
                <w:szCs w:val="28"/>
              </w:rPr>
              <w:t xml:space="preserve">Inter-carrier, inter-band </w:t>
            </w:r>
          </w:p>
          <w:p w14:paraId="0714C095" w14:textId="77777777" w:rsidR="00C615C7" w:rsidRPr="00C615C7" w:rsidRDefault="00C615C7" w:rsidP="006A6EA3">
            <w:pPr>
              <w:widowControl/>
              <w:numPr>
                <w:ilvl w:val="0"/>
                <w:numId w:val="11"/>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bCs/>
                <w:szCs w:val="28"/>
              </w:rPr>
              <w:t xml:space="preserve">Inter-carrier, intra-band is additionally supported at least for FR2 </w:t>
            </w:r>
          </w:p>
          <w:p w14:paraId="422CB6F9" w14:textId="77777777" w:rsidR="00C615C7" w:rsidRPr="00C615C7" w:rsidRDefault="00C615C7" w:rsidP="006A6EA3">
            <w:pPr>
              <w:widowControl/>
              <w:numPr>
                <w:ilvl w:val="1"/>
                <w:numId w:val="11"/>
              </w:numPr>
              <w:tabs>
                <w:tab w:val="num" w:pos="1440"/>
              </w:tabs>
              <w:wordWrap/>
              <w:autoSpaceDE/>
              <w:autoSpaceDN/>
              <w:spacing w:afterLines="0" w:after="120"/>
              <w:ind w:left="1264" w:hanging="357"/>
              <w:jc w:val="left"/>
              <w:textAlignment w:val="baseline"/>
              <w:rPr>
                <w:rFonts w:ascii="굴림" w:eastAsia="굴림" w:hAnsi="굴림" w:cs="굴림"/>
                <w:szCs w:val="24"/>
              </w:rPr>
            </w:pPr>
            <w:r w:rsidRPr="00C615C7">
              <w:rPr>
                <w:rFonts w:eastAsia="Calibri" w:cs="Times"/>
                <w:szCs w:val="28"/>
              </w:rPr>
              <w:t>At least to the extent it reuses solutions for supporting Inter-carrier, inter-band</w:t>
            </w:r>
          </w:p>
          <w:p w14:paraId="0B3CE77A" w14:textId="221D6D32" w:rsidR="00C615C7" w:rsidRPr="00C615C7" w:rsidRDefault="00C615C7" w:rsidP="006A6EA3">
            <w:pPr>
              <w:widowControl/>
              <w:numPr>
                <w:ilvl w:val="1"/>
                <w:numId w:val="11"/>
              </w:numPr>
              <w:wordWrap/>
              <w:autoSpaceDE/>
              <w:autoSpaceDN/>
              <w:spacing w:afterLines="0" w:after="120"/>
              <w:ind w:left="1264" w:hanging="357"/>
              <w:jc w:val="left"/>
              <w:textAlignment w:val="baseline"/>
              <w:rPr>
                <w:rFonts w:ascii="굴림" w:eastAsia="굴림" w:hAnsi="굴림" w:cs="굴림"/>
                <w:szCs w:val="24"/>
              </w:rPr>
            </w:pPr>
            <w:r w:rsidRPr="00C615C7">
              <w:rPr>
                <w:rFonts w:eastAsia="Calibri" w:cs="Times"/>
                <w:bCs/>
                <w:szCs w:val="28"/>
                <w:highlight w:val="yellow"/>
              </w:rPr>
              <w:t>FFS:</w:t>
            </w:r>
            <w:r w:rsidRPr="00C615C7">
              <w:rPr>
                <w:rFonts w:eastAsia="Calibri" w:cs="Times"/>
                <w:szCs w:val="28"/>
                <w:highlight w:val="yellow"/>
              </w:rPr>
              <w:t xml:space="preserve"> whether </w:t>
            </w:r>
            <w:r w:rsidRPr="00C615C7">
              <w:rPr>
                <w:rFonts w:eastAsia="Calibri" w:cs="Times"/>
                <w:bCs/>
                <w:szCs w:val="28"/>
                <w:highlight w:val="yellow"/>
              </w:rPr>
              <w:t>specific enhancements</w:t>
            </w:r>
            <w:r w:rsidRPr="00C615C7">
              <w:rPr>
                <w:rFonts w:eastAsia="Calibri" w:cs="Times"/>
                <w:szCs w:val="28"/>
                <w:highlight w:val="yellow"/>
              </w:rPr>
              <w:t xml:space="preserve"> for inter-carrier, intra-band DC are introduced in Rel-17</w:t>
            </w:r>
          </w:p>
        </w:tc>
      </w:tr>
    </w:tbl>
    <w:p w14:paraId="42BCD409" w14:textId="1FEA437F" w:rsidR="00C615C7" w:rsidRDefault="00C615C7" w:rsidP="001F6B73">
      <w:pPr>
        <w:spacing w:after="120"/>
      </w:pPr>
    </w:p>
    <w:p w14:paraId="35440642" w14:textId="6D22CFA3" w:rsidR="00C615C7" w:rsidRDefault="00C615C7" w:rsidP="00C615C7">
      <w:pPr>
        <w:pStyle w:val="a8"/>
        <w:keepNext/>
        <w:spacing w:after="120"/>
      </w:pPr>
      <w:r>
        <w:t xml:space="preserve">Table </w:t>
      </w:r>
      <w:r w:rsidR="0082459F">
        <w:fldChar w:fldCharType="begin"/>
      </w:r>
      <w:r w:rsidR="0082459F">
        <w:instrText xml:space="preserve"> SEQ Table \* ARABIC </w:instrText>
      </w:r>
      <w:r w:rsidR="0082459F">
        <w:fldChar w:fldCharType="separate"/>
      </w:r>
      <w:r w:rsidR="000E1753">
        <w:rPr>
          <w:noProof/>
        </w:rPr>
        <w:t>7</w:t>
      </w:r>
      <w:r w:rsidR="0082459F">
        <w:rPr>
          <w:noProof/>
        </w:rPr>
        <w:fldChar w:fldCharType="end"/>
      </w:r>
      <w:r>
        <w:t>. A conclusion from RAN#90-e</w:t>
      </w:r>
    </w:p>
    <w:tbl>
      <w:tblPr>
        <w:tblStyle w:val="a6"/>
        <w:tblW w:w="0" w:type="auto"/>
        <w:tblLook w:val="04A0" w:firstRow="1" w:lastRow="0" w:firstColumn="1" w:lastColumn="0" w:noHBand="0" w:noVBand="1"/>
      </w:tblPr>
      <w:tblGrid>
        <w:gridCol w:w="9736"/>
      </w:tblGrid>
      <w:tr w:rsidR="00C615C7" w14:paraId="626383C8" w14:textId="77777777" w:rsidTr="00C615C7">
        <w:tc>
          <w:tcPr>
            <w:tcW w:w="9736" w:type="dxa"/>
          </w:tcPr>
          <w:p w14:paraId="5DB4F48A" w14:textId="77777777" w:rsidR="00C615C7" w:rsidRDefault="00C615C7" w:rsidP="00C615C7">
            <w:pPr>
              <w:pStyle w:val="ae"/>
              <w:wordWrap w:val="0"/>
              <w:spacing w:before="0" w:beforeAutospacing="0" w:after="120" w:afterAutospacing="0"/>
            </w:pPr>
            <w:r>
              <w:rPr>
                <w:rFonts w:ascii="Calibri" w:hAnsi="Calibri" w:cs="+mn-cs"/>
                <w:b/>
                <w:bCs/>
                <w:color w:val="000000"/>
                <w:kern w:val="24"/>
                <w:sz w:val="22"/>
                <w:szCs w:val="22"/>
                <w:lang w:val="en-GB"/>
              </w:rPr>
              <w:t>RP-202858 Moderator's summary for email discussion [90</w:t>
            </w:r>
            <w:proofErr w:type="gramStart"/>
            <w:r>
              <w:rPr>
                <w:rFonts w:ascii="Calibri" w:hAnsi="Calibri" w:cs="+mn-cs"/>
                <w:b/>
                <w:bCs/>
                <w:color w:val="000000"/>
                <w:kern w:val="24"/>
                <w:sz w:val="22"/>
                <w:szCs w:val="22"/>
                <w:lang w:val="en-GB"/>
              </w:rPr>
              <w:t>E][</w:t>
            </w:r>
            <w:proofErr w:type="gramEnd"/>
            <w:r>
              <w:rPr>
                <w:rFonts w:ascii="Calibri" w:hAnsi="Calibri" w:cs="+mn-cs"/>
                <w:b/>
                <w:bCs/>
                <w:color w:val="000000"/>
                <w:kern w:val="24"/>
                <w:sz w:val="22"/>
                <w:szCs w:val="22"/>
                <w:lang w:val="en-GB"/>
              </w:rPr>
              <w:t>29][IAB_DC]</w:t>
            </w:r>
            <w:r>
              <w:rPr>
                <w:rFonts w:ascii="Calibri" w:hAnsi="Calibri" w:cs="+mn-cs"/>
                <w:color w:val="000000"/>
                <w:kern w:val="24"/>
                <w:sz w:val="22"/>
                <w:szCs w:val="22"/>
                <w:lang w:val="en-GB"/>
              </w:rPr>
              <w:t>:</w:t>
            </w:r>
          </w:p>
          <w:p w14:paraId="02163591" w14:textId="77777777" w:rsidR="00C615C7" w:rsidRDefault="00C615C7" w:rsidP="00C615C7">
            <w:pPr>
              <w:pStyle w:val="ae"/>
              <w:wordWrap w:val="0"/>
              <w:spacing w:before="0" w:beforeAutospacing="0" w:after="120" w:afterAutospacing="0"/>
            </w:pPr>
            <w:r>
              <w:rPr>
                <w:rFonts w:ascii="Times New Roman" w:hAnsi="Times New Roman" w:cs="+mn-cs"/>
                <w:i/>
                <w:iCs/>
                <w:color w:val="000000"/>
                <w:kern w:val="24"/>
                <w:sz w:val="20"/>
                <w:szCs w:val="20"/>
                <w:lang w:val="en-GB"/>
              </w:rPr>
              <w:t>conclusion: proposal is endorsed</w:t>
            </w:r>
          </w:p>
          <w:p w14:paraId="2911B094" w14:textId="77777777" w:rsidR="00C615C7" w:rsidRDefault="00C615C7" w:rsidP="00C615C7">
            <w:pPr>
              <w:pStyle w:val="ae"/>
              <w:wordWrap w:val="0"/>
              <w:spacing w:before="0" w:beforeAutospacing="0" w:after="120" w:afterAutospacing="0"/>
            </w:pPr>
            <w:r>
              <w:rPr>
                <w:rFonts w:ascii="Calibri" w:hAnsi="Calibri" w:cs="+mn-cs"/>
                <w:color w:val="000000"/>
                <w:kern w:val="24"/>
                <w:sz w:val="22"/>
                <w:szCs w:val="22"/>
                <w:lang w:val="en-GB"/>
              </w:rPr>
              <w:t>is replaced by RAN chairman's reflector conclusion:</w:t>
            </w:r>
          </w:p>
          <w:p w14:paraId="30C3CB85" w14:textId="4359D06C" w:rsidR="00C615C7" w:rsidRPr="00C615C7" w:rsidRDefault="00C615C7" w:rsidP="00C615C7">
            <w:pPr>
              <w:pStyle w:val="ae"/>
              <w:wordWrap w:val="0"/>
              <w:spacing w:before="0" w:beforeAutospacing="0" w:after="120" w:afterAutospacing="0"/>
            </w:pPr>
            <w:r>
              <w:rPr>
                <w:rFonts w:ascii="Calibri" w:hAnsi="Calibri" w:cs="+mn-cs"/>
                <w:i/>
                <w:iCs/>
                <w:color w:val="000000"/>
                <w:kern w:val="24"/>
                <w:sz w:val="22"/>
                <w:szCs w:val="22"/>
                <w:lang w:val="en-GB"/>
              </w:rPr>
              <w:t xml:space="preserve">conclusion: RAN chairman: It seems we </w:t>
            </w:r>
            <w:r w:rsidRPr="006A6EA3">
              <w:rPr>
                <w:rFonts w:ascii="Calibri" w:hAnsi="Calibri" w:cs="+mn-cs"/>
                <w:i/>
                <w:iCs/>
                <w:color w:val="000000"/>
                <w:kern w:val="24"/>
                <w:sz w:val="22"/>
                <w:szCs w:val="22"/>
                <w:highlight w:val="yellow"/>
                <w:lang w:val="en-GB"/>
              </w:rPr>
              <w:t>do not have consensus to include intra-carrier DC for IAB at this stage</w:t>
            </w:r>
            <w:r>
              <w:rPr>
                <w:rFonts w:ascii="Calibri" w:hAnsi="Calibri" w:cs="+mn-cs"/>
                <w:i/>
                <w:iCs/>
                <w:color w:val="000000"/>
                <w:kern w:val="24"/>
                <w:sz w:val="22"/>
                <w:szCs w:val="22"/>
                <w:lang w:val="en-GB"/>
              </w:rPr>
              <w:t>. We can certainly re-visit this in a future meeting, but I would encourage the proponents to do that only if there is evidence that positions of several opposing companies have changed.</w:t>
            </w:r>
          </w:p>
        </w:tc>
      </w:tr>
    </w:tbl>
    <w:p w14:paraId="792C1289" w14:textId="2AD002D7" w:rsidR="00C615C7" w:rsidRDefault="00C615C7" w:rsidP="001F6B73">
      <w:pPr>
        <w:spacing w:after="120"/>
      </w:pPr>
    </w:p>
    <w:p w14:paraId="0909A955" w14:textId="6B74290C" w:rsidR="00C615C7" w:rsidRDefault="00457CFF" w:rsidP="00C307E0">
      <w:pPr>
        <w:pStyle w:val="maintext"/>
        <w:ind w:firstLine="440"/>
      </w:pPr>
      <w:r>
        <w:t>As copied above, three types of DC scenarios, i.e. “inter-carrier and inter-band”, “inter-carrier and intra-band”, “intra-carrier and intra-band”</w:t>
      </w:r>
      <w:r w:rsidR="00C307E0">
        <w:t xml:space="preserve">, had been discussed but RAN and RAN1 </w:t>
      </w:r>
      <w:r w:rsidR="00074DBD">
        <w:t>have</w:t>
      </w:r>
      <w:r w:rsidR="00C307E0">
        <w:t xml:space="preserve"> not f</w:t>
      </w:r>
      <w:r w:rsidR="00074DBD">
        <w:t>ou</w:t>
      </w:r>
      <w:r w:rsidR="00C307E0">
        <w:t xml:space="preserve">nd a common ground between companies yet. </w:t>
      </w:r>
      <w:r w:rsidR="004C6129">
        <w:t>From our understanding, while we try to assess whether some of the DC scenarios listed above are supported by the existing specifications or not, one of the most important part should be the supported band and band combination for DC. From the latest specifications in TS38.101-1, TS38.101-2, and TS38.101-3, we failed to see the explicit</w:t>
      </w:r>
      <w:r w:rsidR="00C0630F">
        <w:t xml:space="preserve"> descriptions on</w:t>
      </w:r>
      <w:r w:rsidR="004C6129">
        <w:t xml:space="preserve"> </w:t>
      </w:r>
      <w:r w:rsidR="00C0630F">
        <w:t xml:space="preserve">band or band combination for intra-band NR-DC. </w:t>
      </w:r>
      <w:r w:rsidR="00FA790A">
        <w:t xml:space="preserve">Consequently, it would be fair to assume that there is no NR band in which intra-band NR-DC can be operated. </w:t>
      </w:r>
    </w:p>
    <w:p w14:paraId="479F49B9" w14:textId="036E56C3" w:rsidR="00712AC1" w:rsidRDefault="00D7525A" w:rsidP="00C307E0">
      <w:pPr>
        <w:pStyle w:val="maintext"/>
        <w:ind w:firstLine="440"/>
      </w:pPr>
      <w:r>
        <w:t xml:space="preserve">As </w:t>
      </w:r>
      <w:r w:rsidR="004D4332">
        <w:t>highlighted</w:t>
      </w:r>
      <w:r>
        <w:t xml:space="preserve"> in </w:t>
      </w:r>
      <w:r>
        <w:fldChar w:fldCharType="begin"/>
      </w:r>
      <w:r>
        <w:instrText xml:space="preserve"> REF _Ref61271177 \h </w:instrText>
      </w:r>
      <w:r>
        <w:fldChar w:fldCharType="separate"/>
      </w:r>
      <w:r w:rsidR="008E29E9">
        <w:t xml:space="preserve">Table </w:t>
      </w:r>
      <w:r w:rsidR="008E29E9">
        <w:rPr>
          <w:noProof/>
        </w:rPr>
        <w:t>6</w:t>
      </w:r>
      <w:r>
        <w:fldChar w:fldCharType="end"/>
      </w:r>
      <w:r>
        <w:t xml:space="preserve">, however, </w:t>
      </w:r>
      <w:r w:rsidR="004D4332">
        <w:t>an example that a single band could be utilized for NR-DC can be one exception, although we are still not sure whether this description can be generally applied for all band or band combinations without any restriction regardless of the descriptions in TS38.101-1/-2/-3.</w:t>
      </w:r>
      <w:r w:rsidR="00612D81">
        <w:t xml:space="preserve"> </w:t>
      </w:r>
      <w:r w:rsidR="00995C11">
        <w:t>It would be worth to note</w:t>
      </w:r>
      <w:r w:rsidR="00612D81">
        <w:t xml:space="preserve"> that the terminology of “any permutations of carriers” seems hard to be applied for “intra-carrier DC” scenario, since it is stressed that this sentence stands for the case when a single band entry comprises more than two carriers. </w:t>
      </w:r>
    </w:p>
    <w:p w14:paraId="1499539E" w14:textId="44DC09CF" w:rsidR="00101511" w:rsidRDefault="00101511" w:rsidP="001F6B73">
      <w:pPr>
        <w:spacing w:after="120"/>
      </w:pPr>
    </w:p>
    <w:p w14:paraId="1C3AC46D" w14:textId="4BB4C75B" w:rsidR="00F4781E" w:rsidRDefault="00F4781E" w:rsidP="00F4781E">
      <w:pPr>
        <w:pStyle w:val="a8"/>
        <w:keepNext/>
        <w:spacing w:after="120"/>
      </w:pPr>
      <w:bookmarkStart w:id="10" w:name="_Ref61271177"/>
      <w:r>
        <w:t xml:space="preserve">Table </w:t>
      </w:r>
      <w:r w:rsidR="0082459F">
        <w:fldChar w:fldCharType="begin"/>
      </w:r>
      <w:r w:rsidR="0082459F">
        <w:instrText xml:space="preserve"> SEQ Table \* ARABIC </w:instrText>
      </w:r>
      <w:r w:rsidR="0082459F">
        <w:fldChar w:fldCharType="separate"/>
      </w:r>
      <w:r w:rsidR="000E1753">
        <w:rPr>
          <w:noProof/>
        </w:rPr>
        <w:t>8</w:t>
      </w:r>
      <w:r w:rsidR="0082459F">
        <w:rPr>
          <w:noProof/>
        </w:rPr>
        <w:fldChar w:fldCharType="end"/>
      </w:r>
      <w:bookmarkEnd w:id="10"/>
      <w:r>
        <w:t>. Rel-16 UE capability on asynchronous NR-DC</w:t>
      </w:r>
    </w:p>
    <w:tbl>
      <w:tblPr>
        <w:tblW w:w="9668" w:type="dxa"/>
        <w:tblCellMar>
          <w:left w:w="0" w:type="dxa"/>
          <w:right w:w="0" w:type="dxa"/>
        </w:tblCellMar>
        <w:tblLook w:val="00A0" w:firstRow="1" w:lastRow="0" w:firstColumn="1" w:lastColumn="0" w:noHBand="0" w:noVBand="0"/>
      </w:tblPr>
      <w:tblGrid>
        <w:gridCol w:w="6690"/>
        <w:gridCol w:w="779"/>
        <w:gridCol w:w="620"/>
        <w:gridCol w:w="780"/>
        <w:gridCol w:w="799"/>
      </w:tblGrid>
      <w:tr w:rsidR="00F4781E" w:rsidRPr="00F4781E" w14:paraId="564C771E" w14:textId="77777777" w:rsidTr="00F4781E">
        <w:tc>
          <w:tcPr>
            <w:tcW w:w="669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1EA1249" w14:textId="77777777" w:rsidR="00F4781E" w:rsidRPr="00F4781E" w:rsidRDefault="00F4781E" w:rsidP="00F4781E">
            <w:pPr>
              <w:widowControl/>
              <w:overflowPunct w:val="0"/>
              <w:autoSpaceDE/>
              <w:autoSpaceDN/>
              <w:spacing w:afterLines="0" w:after="12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Definitions for parameters</w:t>
            </w:r>
          </w:p>
        </w:tc>
        <w:tc>
          <w:tcPr>
            <w:tcW w:w="7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CC6C90"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Per</w:t>
            </w:r>
          </w:p>
        </w:tc>
        <w:tc>
          <w:tcPr>
            <w:tcW w:w="6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C6D9553"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M</w:t>
            </w:r>
          </w:p>
        </w:tc>
        <w:tc>
          <w:tcPr>
            <w:tcW w:w="7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064FCA"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FDD-TDD</w:t>
            </w:r>
          </w:p>
          <w:p w14:paraId="042FF2E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DIFF</w:t>
            </w:r>
          </w:p>
        </w:tc>
        <w:tc>
          <w:tcPr>
            <w:tcW w:w="79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E85EDFE"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FR1-FR2</w:t>
            </w:r>
          </w:p>
          <w:p w14:paraId="330808F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DIFF</w:t>
            </w:r>
          </w:p>
        </w:tc>
      </w:tr>
      <w:tr w:rsidR="00F4781E" w:rsidRPr="00F4781E" w14:paraId="34D85EEB" w14:textId="77777777" w:rsidTr="00F4781E">
        <w:tc>
          <w:tcPr>
            <w:tcW w:w="669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E82AB1D"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b/>
                <w:bCs/>
                <w:i/>
                <w:iCs/>
                <w:color w:val="000000"/>
                <w:kern w:val="24"/>
                <w:sz w:val="18"/>
                <w:szCs w:val="18"/>
                <w:lang w:val="en-GB"/>
              </w:rPr>
              <w:t>asyncNRDC-r16</w:t>
            </w:r>
          </w:p>
          <w:p w14:paraId="05EB62FC"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color w:val="000000"/>
                <w:kern w:val="24"/>
                <w:sz w:val="18"/>
                <w:szCs w:val="18"/>
                <w:lang w:val="en-GB"/>
              </w:rPr>
              <w:t xml:space="preserve">Indicates whether the UE supports asynchronous NR-DC with MRTD and MTTD as specified in clause 7.5 and 7.6 of TS 38.133 [5]. </w:t>
            </w:r>
            <w:r w:rsidRPr="00F4781E">
              <w:rPr>
                <w:rFonts w:ascii="Arial" w:eastAsia="Times New Roman" w:hAnsi="Arial"/>
                <w:color w:val="000000"/>
                <w:kern w:val="24"/>
                <w:sz w:val="18"/>
                <w:szCs w:val="18"/>
                <w:highlight w:val="yellow"/>
                <w:lang w:val="en-GB"/>
              </w:rPr>
              <w:t xml:space="preserve">If the band combination is comprised of a single band entry for more than two carriers, the UE shall support </w:t>
            </w:r>
            <w:r w:rsidRPr="00F4781E">
              <w:rPr>
                <w:rFonts w:ascii="Arial" w:eastAsia="Times New Roman" w:hAnsi="Arial"/>
                <w:color w:val="000000"/>
                <w:kern w:val="24"/>
                <w:sz w:val="18"/>
                <w:szCs w:val="18"/>
                <w:highlight w:val="yellow"/>
                <w:lang w:val="en-GB"/>
              </w:rPr>
              <w:lastRenderedPageBreak/>
              <w:t>any permutations of carriers to CGs</w:t>
            </w:r>
            <w:r w:rsidRPr="00F4781E">
              <w:rPr>
                <w:rFonts w:ascii="Arial" w:eastAsia="Times New Roman" w:hAnsi="Arial"/>
                <w:color w:val="000000"/>
                <w:kern w:val="24"/>
                <w:sz w:val="18"/>
                <w:szCs w:val="18"/>
                <w:lang w:val="en-GB"/>
              </w:rPr>
              <w:t>.</w:t>
            </w:r>
            <w:r w:rsidRPr="00F4781E">
              <w:rPr>
                <w:rFonts w:eastAsia="Times New Roman"/>
                <w:color w:val="000000"/>
                <w:kern w:val="24"/>
                <w:sz w:val="18"/>
                <w:szCs w:val="18"/>
                <w:lang w:val="en-GB"/>
              </w:rPr>
              <w:t> </w:t>
            </w:r>
            <w:r w:rsidRPr="00F4781E">
              <w:rPr>
                <w:rFonts w:ascii="Arial" w:eastAsia="Times New Roman" w:hAnsi="Arial"/>
                <w:color w:val="000000"/>
                <w:kern w:val="24"/>
                <w:sz w:val="18"/>
                <w:szCs w:val="18"/>
                <w:lang w:val="en-GB"/>
              </w:rPr>
              <w:t xml:space="preserve"> If the band combination is comprised of at least two band entries, the carriers corresponding to a band entry shall belong to only one cell group.</w:t>
            </w:r>
          </w:p>
          <w:p w14:paraId="32412328"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color w:val="000000"/>
                <w:kern w:val="24"/>
                <w:sz w:val="18"/>
                <w:szCs w:val="18"/>
                <w:lang w:val="en-GB"/>
              </w:rPr>
              <w:t>A UE indicating this capability shall support asynchronous NR-DC configuration where all serving cells of the MCG are in FR1 and all serving cells of the SCG are in FR2.</w:t>
            </w:r>
          </w:p>
        </w:tc>
        <w:tc>
          <w:tcPr>
            <w:tcW w:w="7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EE858F"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lastRenderedPageBreak/>
              <w:t>BC</w:t>
            </w:r>
          </w:p>
        </w:tc>
        <w:tc>
          <w:tcPr>
            <w:tcW w:w="6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4867220"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FFS</w:t>
            </w:r>
          </w:p>
        </w:tc>
        <w:tc>
          <w:tcPr>
            <w:tcW w:w="7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4D511CA"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No</w:t>
            </w:r>
          </w:p>
        </w:tc>
        <w:tc>
          <w:tcPr>
            <w:tcW w:w="79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D1835E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No</w:t>
            </w:r>
          </w:p>
        </w:tc>
      </w:tr>
    </w:tbl>
    <w:p w14:paraId="10838D50" w14:textId="77777777" w:rsidR="00712AC1" w:rsidRDefault="00712AC1" w:rsidP="001F6B73">
      <w:pPr>
        <w:spacing w:after="120"/>
      </w:pPr>
    </w:p>
    <w:p w14:paraId="3B4E1BAF" w14:textId="77777777" w:rsidR="00101511" w:rsidRPr="00F62350" w:rsidRDefault="00101511" w:rsidP="00101511">
      <w:pPr>
        <w:spacing w:after="120"/>
        <w:rPr>
          <w:b/>
        </w:rPr>
      </w:pPr>
      <w:r w:rsidRPr="00F62350">
        <w:rPr>
          <w:rFonts w:hint="eastAsia"/>
          <w:b/>
        </w:rPr>
        <w:t>O</w:t>
      </w:r>
      <w:r w:rsidRPr="00F62350">
        <w:rPr>
          <w:b/>
        </w:rPr>
        <w:t>bservation 2: Intra-carrier DC has not been captured by Rel-15/-16 NR specifications</w:t>
      </w:r>
    </w:p>
    <w:p w14:paraId="3E88D573" w14:textId="77777777" w:rsidR="00101511" w:rsidRPr="00F62350" w:rsidRDefault="00101511" w:rsidP="00101511">
      <w:pPr>
        <w:pStyle w:val="a7"/>
        <w:numPr>
          <w:ilvl w:val="0"/>
          <w:numId w:val="14"/>
        </w:numPr>
        <w:spacing w:after="120"/>
        <w:ind w:leftChars="0"/>
        <w:rPr>
          <w:b/>
        </w:rPr>
      </w:pPr>
      <w:r w:rsidRPr="00F62350">
        <w:rPr>
          <w:b/>
        </w:rPr>
        <w:t>TS38.101-1/-2/-3 have no descriptions even for intra-band NR-DC. I.e., there is no clear NR band in which intra-band NR-DC can be operated.</w:t>
      </w:r>
    </w:p>
    <w:p w14:paraId="2271848E" w14:textId="77777777" w:rsidR="00101511" w:rsidRPr="00F62350" w:rsidRDefault="00101511" w:rsidP="00101511">
      <w:pPr>
        <w:pStyle w:val="a7"/>
        <w:numPr>
          <w:ilvl w:val="0"/>
          <w:numId w:val="14"/>
        </w:numPr>
        <w:spacing w:after="120"/>
        <w:ind w:leftChars="0"/>
        <w:rPr>
          <w:b/>
        </w:rPr>
      </w:pPr>
      <w:r w:rsidRPr="00F62350">
        <w:rPr>
          <w:b/>
        </w:rPr>
        <w:t>Rel-16 UE capability parameter “asyncNRDC-r16” clarifies UE requirements for the case when the band combination for DC is comprised of a single band entry for more than two carriers.</w:t>
      </w:r>
    </w:p>
    <w:p w14:paraId="2C39D7ED" w14:textId="77F70503" w:rsidR="00101511" w:rsidRPr="00F62350" w:rsidRDefault="00101511" w:rsidP="00101511">
      <w:pPr>
        <w:pStyle w:val="a7"/>
        <w:numPr>
          <w:ilvl w:val="1"/>
          <w:numId w:val="14"/>
        </w:numPr>
        <w:spacing w:after="120"/>
        <w:ind w:leftChars="0"/>
        <w:rPr>
          <w:b/>
        </w:rPr>
      </w:pPr>
      <w:r w:rsidRPr="00F62350">
        <w:rPr>
          <w:b/>
        </w:rPr>
        <w:t>However, it is hard to assume that the wording “any permutations of carriers” was meant to intra-carrier DC</w:t>
      </w:r>
    </w:p>
    <w:p w14:paraId="3C9CFAAA" w14:textId="6D4930D5" w:rsidR="00101511" w:rsidRDefault="00101511" w:rsidP="001F6B73">
      <w:pPr>
        <w:spacing w:after="120"/>
      </w:pPr>
    </w:p>
    <w:p w14:paraId="2BE35CDB" w14:textId="5E00FC43" w:rsidR="00101511" w:rsidRDefault="008C7F41" w:rsidP="007F2001">
      <w:pPr>
        <w:pStyle w:val="maintext"/>
        <w:ind w:firstLine="440"/>
      </w:pPr>
      <w:r>
        <w:rPr>
          <w:rFonts w:hint="eastAsia"/>
        </w:rPr>
        <w:t>A</w:t>
      </w:r>
      <w:r>
        <w:t xml:space="preserve">lthough </w:t>
      </w:r>
      <w:r w:rsidR="00FD7FF8">
        <w:t xml:space="preserve">the current specifications </w:t>
      </w:r>
      <w:r w:rsidR="00EB0301">
        <w:t xml:space="preserve">are not intended for intra-carrier DC, </w:t>
      </w:r>
      <w:r w:rsidR="007943C9">
        <w:t xml:space="preserve">it is true that intra-carrier DC is one of the most feasible solution </w:t>
      </w:r>
      <w:r w:rsidR="00053F52">
        <w:t xml:space="preserve">to allocate multiple parent nodes within a single cell. </w:t>
      </w:r>
      <w:r w:rsidR="00F703D6">
        <w:t xml:space="preserve">During Rel-17 </w:t>
      </w:r>
      <w:proofErr w:type="spellStart"/>
      <w:r w:rsidR="00F703D6">
        <w:t>eIAB</w:t>
      </w:r>
      <w:proofErr w:type="spellEnd"/>
      <w:r w:rsidR="00F703D6">
        <w:t xml:space="preserve"> discussions, one camp has raised</w:t>
      </w:r>
      <w:r w:rsidR="006F5C58">
        <w:t xml:space="preserve"> </w:t>
      </w:r>
      <w:r w:rsidR="00F703D6">
        <w:t>a</w:t>
      </w:r>
      <w:r w:rsidR="006F5C58">
        <w:t xml:space="preserve"> concern</w:t>
      </w:r>
      <w:r w:rsidR="00F703D6">
        <w:t xml:space="preserve"> that</w:t>
      </w:r>
      <w:r w:rsidR="006F5C58">
        <w:t xml:space="preserve"> (resource) coordination across parent nodes that has not been </w:t>
      </w:r>
      <w:r w:rsidR="00F703D6">
        <w:t xml:space="preserve">intensively discussed yet and it cannot be handled by the allocated TUs in Rel-17. </w:t>
      </w:r>
      <w:r w:rsidR="00F66149">
        <w:t xml:space="preserve">From our understanding, however, </w:t>
      </w:r>
      <w:r w:rsidR="00D37BDF">
        <w:t>if the IAB-MT support</w:t>
      </w:r>
      <w:r w:rsidR="007D2AEC">
        <w:t xml:space="preserve">s Rel-16 </w:t>
      </w:r>
      <w:proofErr w:type="spellStart"/>
      <w:r w:rsidR="007D2AEC">
        <w:t>mTRP</w:t>
      </w:r>
      <w:proofErr w:type="spellEnd"/>
      <w:r w:rsidR="007D2AEC">
        <w:t xml:space="preserve"> features (and potentially Rel-17 </w:t>
      </w:r>
      <w:proofErr w:type="spellStart"/>
      <w:r w:rsidR="007D2AEC">
        <w:t>mTRP</w:t>
      </w:r>
      <w:proofErr w:type="spellEnd"/>
      <w:r w:rsidR="007D2AEC">
        <w:t xml:space="preserve"> features as well), </w:t>
      </w:r>
      <w:r w:rsidR="003D3781">
        <w:t xml:space="preserve">SDM and/or FDM of resources for two parent nodes </w:t>
      </w:r>
      <w:r w:rsidR="008407A6">
        <w:t>should be doable for that IAB-MT</w:t>
      </w:r>
      <w:r w:rsidR="000F2B45">
        <w:t xml:space="preserve"> without tight coordination between the parent nodes</w:t>
      </w:r>
      <w:r w:rsidR="008407A6">
        <w:t xml:space="preserve">. </w:t>
      </w:r>
      <w:r w:rsidR="004A0FE1">
        <w:t xml:space="preserve">If it is burdensome to support one of SDM and/or FDM from a vendor perspective, then the prioritization rule for Rel-16 TEI on half duplex CA can be additionally considered </w:t>
      </w:r>
      <w:r w:rsidR="00F62350">
        <w:t>to reduce the implementation complexities.</w:t>
      </w:r>
    </w:p>
    <w:p w14:paraId="6A539353" w14:textId="2347D45C" w:rsidR="00101511" w:rsidRPr="0007638C" w:rsidRDefault="00101511" w:rsidP="001F6B73">
      <w:pPr>
        <w:spacing w:after="120"/>
        <w:rPr>
          <w:lang w:val="en-GB"/>
        </w:rPr>
      </w:pPr>
    </w:p>
    <w:p w14:paraId="718BD440" w14:textId="58F1D795" w:rsidR="00101511" w:rsidRPr="00F62350" w:rsidRDefault="00101511" w:rsidP="00101511">
      <w:pPr>
        <w:spacing w:after="120"/>
        <w:rPr>
          <w:b/>
        </w:rPr>
      </w:pPr>
      <w:r w:rsidRPr="00F62350">
        <w:rPr>
          <w:rFonts w:hint="eastAsia"/>
          <w:b/>
        </w:rPr>
        <w:t>P</w:t>
      </w:r>
      <w:r w:rsidRPr="00F62350">
        <w:rPr>
          <w:b/>
        </w:rPr>
        <w:t xml:space="preserve">roposal </w:t>
      </w:r>
      <w:r w:rsidR="00EC1615">
        <w:rPr>
          <w:b/>
        </w:rPr>
        <w:t>9</w:t>
      </w:r>
      <w:r w:rsidRPr="00F62350">
        <w:rPr>
          <w:b/>
        </w:rPr>
        <w:t>: Consider to handle intra-carrier DC in the future releases</w:t>
      </w:r>
    </w:p>
    <w:p w14:paraId="15AA94E8" w14:textId="1C5A7D55" w:rsidR="00101511" w:rsidRPr="00F62350" w:rsidRDefault="00101511" w:rsidP="00101511">
      <w:pPr>
        <w:pStyle w:val="a7"/>
        <w:numPr>
          <w:ilvl w:val="0"/>
          <w:numId w:val="15"/>
        </w:numPr>
        <w:spacing w:after="120"/>
        <w:ind w:leftChars="0"/>
        <w:rPr>
          <w:b/>
        </w:rPr>
      </w:pPr>
      <w:r w:rsidRPr="00F62350">
        <w:rPr>
          <w:b/>
        </w:rPr>
        <w:t>Joint operation of “</w:t>
      </w:r>
      <w:proofErr w:type="spellStart"/>
      <w:r w:rsidRPr="00F62350">
        <w:rPr>
          <w:b/>
        </w:rPr>
        <w:t>mTRP</w:t>
      </w:r>
      <w:proofErr w:type="spellEnd"/>
      <w:r w:rsidRPr="00F62350">
        <w:rPr>
          <w:b/>
        </w:rPr>
        <w:t>” + “Rel-16 TEI on half duplex CA” can be a good starting point for dual parent IAB via intra-carrier DC</w:t>
      </w:r>
    </w:p>
    <w:p w14:paraId="1971F7B3" w14:textId="77777777" w:rsidR="005F2EBC" w:rsidRPr="007F3CF2" w:rsidRDefault="005F2EB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1F8AC00"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observations and proposals were made:</w:t>
      </w:r>
    </w:p>
    <w:p w14:paraId="342614FE" w14:textId="1A2F564B" w:rsidR="00403F1D" w:rsidRPr="008449B3" w:rsidRDefault="00306204" w:rsidP="008449B3">
      <w:pPr>
        <w:spacing w:after="120"/>
        <w:ind w:left="330" w:hangingChars="150" w:hanging="330"/>
        <w:rPr>
          <w:b/>
          <w:i/>
        </w:rPr>
      </w:pPr>
      <w:r w:rsidRPr="008449B3">
        <w:rPr>
          <w:rFonts w:hint="eastAsia"/>
          <w:b/>
          <w:i/>
        </w:rPr>
        <w:t>O</w:t>
      </w:r>
      <w:r w:rsidRPr="008449B3">
        <w:rPr>
          <w:b/>
          <w:i/>
        </w:rPr>
        <w:t>bservation 1: Rel-16 Multiplexing Info can provide a certain level of temporal applicability of a given multiplexing capability. (Enhancements on temporal applicability of Multiplexing Info are not urgent.)</w:t>
      </w:r>
    </w:p>
    <w:p w14:paraId="35C760F4" w14:textId="77777777" w:rsidR="00306204" w:rsidRPr="008449B3" w:rsidRDefault="00306204" w:rsidP="00306204">
      <w:pPr>
        <w:spacing w:after="120"/>
        <w:rPr>
          <w:b/>
          <w:i/>
        </w:rPr>
      </w:pPr>
      <w:r w:rsidRPr="008449B3">
        <w:rPr>
          <w:rFonts w:hint="eastAsia"/>
          <w:b/>
          <w:i/>
        </w:rPr>
        <w:t>O</w:t>
      </w:r>
      <w:r w:rsidRPr="008449B3">
        <w:rPr>
          <w:b/>
          <w:i/>
        </w:rPr>
        <w:t>bservation 2: Intra-carrier DC has not been captured by Rel-15/-16 NR specifications</w:t>
      </w:r>
    </w:p>
    <w:p w14:paraId="3CDF3580" w14:textId="77777777" w:rsidR="00306204" w:rsidRPr="008449B3" w:rsidRDefault="00306204" w:rsidP="00306204">
      <w:pPr>
        <w:pStyle w:val="a7"/>
        <w:numPr>
          <w:ilvl w:val="0"/>
          <w:numId w:val="14"/>
        </w:numPr>
        <w:spacing w:after="120"/>
        <w:ind w:leftChars="0"/>
        <w:rPr>
          <w:b/>
          <w:i/>
        </w:rPr>
      </w:pPr>
      <w:r w:rsidRPr="008449B3">
        <w:rPr>
          <w:b/>
          <w:i/>
        </w:rPr>
        <w:t>TS38.101-1/-2/-3 have no descriptions even for intra-band NR-DC. I.e., there is no clear NR band in which intra-band NR-DC can be operated.</w:t>
      </w:r>
    </w:p>
    <w:p w14:paraId="5A144691" w14:textId="77777777" w:rsidR="00306204" w:rsidRPr="008449B3" w:rsidRDefault="00306204" w:rsidP="00306204">
      <w:pPr>
        <w:pStyle w:val="a7"/>
        <w:numPr>
          <w:ilvl w:val="0"/>
          <w:numId w:val="14"/>
        </w:numPr>
        <w:spacing w:after="120"/>
        <w:ind w:leftChars="0"/>
        <w:rPr>
          <w:b/>
          <w:i/>
        </w:rPr>
      </w:pPr>
      <w:r w:rsidRPr="008449B3">
        <w:rPr>
          <w:b/>
          <w:i/>
        </w:rPr>
        <w:t>Rel-16 UE capability parameter “asyncNRDC-r16” clarifies UE requirements for the case when the band combination for DC is comprised of a single band entry for more than two carriers.</w:t>
      </w:r>
    </w:p>
    <w:p w14:paraId="56E40510" w14:textId="77777777" w:rsidR="00306204" w:rsidRPr="008449B3" w:rsidRDefault="00306204" w:rsidP="00306204">
      <w:pPr>
        <w:pStyle w:val="a7"/>
        <w:numPr>
          <w:ilvl w:val="1"/>
          <w:numId w:val="14"/>
        </w:numPr>
        <w:spacing w:after="120"/>
        <w:ind w:leftChars="0"/>
        <w:rPr>
          <w:b/>
          <w:i/>
        </w:rPr>
      </w:pPr>
      <w:r w:rsidRPr="008449B3">
        <w:rPr>
          <w:b/>
          <w:i/>
        </w:rPr>
        <w:t>However, it is hard to assume that the wording “any permutations of carriers” was meant to intra-carrier DC</w:t>
      </w:r>
    </w:p>
    <w:p w14:paraId="71E2E85B" w14:textId="28F8DD40" w:rsidR="00EC1615" w:rsidRPr="008449B3" w:rsidRDefault="00EC1615" w:rsidP="00EC1615">
      <w:pPr>
        <w:spacing w:after="120"/>
        <w:rPr>
          <w:b/>
          <w:i/>
        </w:rPr>
      </w:pPr>
    </w:p>
    <w:p w14:paraId="6E4CB331" w14:textId="250E3791" w:rsidR="00EC1615" w:rsidRPr="008449B3" w:rsidRDefault="00306204" w:rsidP="008449B3">
      <w:pPr>
        <w:spacing w:after="120"/>
        <w:ind w:left="330" w:hangingChars="150" w:hanging="330"/>
        <w:rPr>
          <w:b/>
          <w:i/>
        </w:rPr>
      </w:pPr>
      <w:r w:rsidRPr="008449B3">
        <w:rPr>
          <w:b/>
          <w:i/>
        </w:rPr>
        <w:t xml:space="preserve">Proposal 1: Introduce an assist information on the supported duplexing mode (FDM and/or SDM) for </w:t>
      </w:r>
      <w:r w:rsidRPr="008449B3">
        <w:rPr>
          <w:b/>
          <w:i/>
        </w:rPr>
        <w:lastRenderedPageBreak/>
        <w:t>simultaneous operations.</w:t>
      </w:r>
    </w:p>
    <w:p w14:paraId="1344344A" w14:textId="2D76719F" w:rsidR="00306204" w:rsidRPr="008449B3" w:rsidRDefault="00306204" w:rsidP="008449B3">
      <w:pPr>
        <w:spacing w:after="120"/>
        <w:ind w:left="330" w:hangingChars="150" w:hanging="330"/>
        <w:rPr>
          <w:i/>
        </w:rPr>
      </w:pPr>
      <w:r w:rsidRPr="008449B3">
        <w:rPr>
          <w:b/>
          <w:i/>
        </w:rPr>
        <w:t>Proposal 2: Introduce an assist information to indicate support of (DL and/or UL) power control for simultaneous operations.</w:t>
      </w:r>
    </w:p>
    <w:p w14:paraId="336B78D7" w14:textId="77777777" w:rsidR="00306204" w:rsidRPr="008449B3" w:rsidRDefault="00306204" w:rsidP="00306204">
      <w:pPr>
        <w:spacing w:after="120"/>
        <w:ind w:left="330" w:hangingChars="150" w:hanging="330"/>
        <w:rPr>
          <w:b/>
          <w:i/>
        </w:rPr>
      </w:pPr>
      <w:r w:rsidRPr="008449B3">
        <w:rPr>
          <w:b/>
          <w:i/>
        </w:rPr>
        <w:t>Proposal 3: Regarding the resource management in the spatial domain, use the Rel-16 CSI/beam related reports as a baseline scheme.</w:t>
      </w:r>
    </w:p>
    <w:p w14:paraId="54B4B408" w14:textId="5B3ECE82" w:rsidR="00306204" w:rsidRPr="008449B3" w:rsidRDefault="00306204" w:rsidP="008449B3">
      <w:pPr>
        <w:pStyle w:val="maintext"/>
        <w:numPr>
          <w:ilvl w:val="0"/>
          <w:numId w:val="20"/>
        </w:numPr>
        <w:ind w:firstLineChars="0"/>
        <w:rPr>
          <w:b/>
          <w:i/>
        </w:rPr>
      </w:pPr>
      <w:r w:rsidRPr="008449B3">
        <w:rPr>
          <w:b/>
          <w:i/>
        </w:rPr>
        <w:t>Features duplicated with that from Rel-17 MIMO should be deprioritized in Rel-17 IAB.</w:t>
      </w:r>
    </w:p>
    <w:p w14:paraId="0D300250" w14:textId="77777777" w:rsidR="00306204" w:rsidRPr="008449B3" w:rsidRDefault="00306204" w:rsidP="00306204">
      <w:pPr>
        <w:spacing w:after="120"/>
        <w:rPr>
          <w:b/>
          <w:i/>
        </w:rPr>
      </w:pPr>
      <w:r w:rsidRPr="008449B3">
        <w:rPr>
          <w:rFonts w:hint="eastAsia"/>
          <w:b/>
          <w:i/>
        </w:rPr>
        <w:t>P</w:t>
      </w:r>
      <w:r w:rsidRPr="008449B3">
        <w:rPr>
          <w:b/>
          <w:i/>
        </w:rPr>
        <w:t>roposal 4: Enhance DCI format 2_5 to enable frequency domain resource availability indication.</w:t>
      </w:r>
    </w:p>
    <w:p w14:paraId="05D55DCE" w14:textId="77777777" w:rsidR="00306204" w:rsidRPr="008449B3" w:rsidRDefault="00306204" w:rsidP="00306204">
      <w:pPr>
        <w:pStyle w:val="a7"/>
        <w:numPr>
          <w:ilvl w:val="0"/>
          <w:numId w:val="13"/>
        </w:numPr>
        <w:spacing w:after="120"/>
        <w:ind w:leftChars="0"/>
        <w:rPr>
          <w:b/>
          <w:i/>
        </w:rPr>
      </w:pPr>
      <w:r w:rsidRPr="008449B3">
        <w:rPr>
          <w:b/>
          <w:i/>
        </w:rPr>
        <w:t xml:space="preserve">Alt.1: Extend of the mapping between values of </w:t>
      </w:r>
      <w:proofErr w:type="spellStart"/>
      <w:r w:rsidRPr="008449B3">
        <w:rPr>
          <w:b/>
          <w:i/>
        </w:rPr>
        <w:t>resourceAvailability</w:t>
      </w:r>
      <w:proofErr w:type="spellEnd"/>
      <w:r w:rsidRPr="008449B3">
        <w:rPr>
          <w:b/>
          <w:i/>
        </w:rPr>
        <w:t xml:space="preserve"> elements and types of soft symbol availability to frequency domain resource availability.</w:t>
      </w:r>
    </w:p>
    <w:p w14:paraId="3E509624" w14:textId="2F4D33D2" w:rsidR="00EC1615" w:rsidRPr="008449B3" w:rsidRDefault="00306204" w:rsidP="00EC1615">
      <w:pPr>
        <w:pStyle w:val="a7"/>
        <w:numPr>
          <w:ilvl w:val="0"/>
          <w:numId w:val="13"/>
        </w:numPr>
        <w:spacing w:after="120"/>
        <w:ind w:leftChars="0"/>
        <w:rPr>
          <w:b/>
          <w:i/>
        </w:rPr>
      </w:pPr>
      <w:r w:rsidRPr="008449B3">
        <w:rPr>
          <w:b/>
          <w:i/>
        </w:rPr>
        <w:t>Alt.2: Introduce a new RNTI to indicate frequency domain resource availability.</w:t>
      </w:r>
    </w:p>
    <w:p w14:paraId="30E84B95" w14:textId="3FC9DCCD" w:rsidR="00306204" w:rsidRPr="008449B3" w:rsidRDefault="00306204" w:rsidP="008449B3">
      <w:pPr>
        <w:spacing w:after="120"/>
        <w:ind w:left="330" w:hangingChars="150" w:hanging="330"/>
        <w:rPr>
          <w:i/>
        </w:rPr>
      </w:pPr>
      <w:r w:rsidRPr="008449B3">
        <w:rPr>
          <w:rFonts w:hint="eastAsia"/>
          <w:b/>
          <w:i/>
        </w:rPr>
        <w:t>P</w:t>
      </w:r>
      <w:r w:rsidRPr="008449B3">
        <w:rPr>
          <w:b/>
          <w:i/>
        </w:rPr>
        <w:t>roposal 5: Clarify that there is no impact on IAB-MT behavior due to conflicts between cell-specific signals/channels and other resource configurations of the IAB-MT, when the IAB node supports SDM between DU and MT resources at least.</w:t>
      </w:r>
    </w:p>
    <w:p w14:paraId="080F02DD" w14:textId="3E287253" w:rsidR="00306204" w:rsidRPr="008449B3" w:rsidRDefault="00306204" w:rsidP="008449B3">
      <w:pPr>
        <w:spacing w:after="120"/>
        <w:ind w:left="330" w:hangingChars="150" w:hanging="330"/>
        <w:rPr>
          <w:i/>
        </w:rPr>
      </w:pPr>
      <w:r w:rsidRPr="008449B3">
        <w:rPr>
          <w:rFonts w:hint="eastAsia"/>
          <w:b/>
          <w:i/>
        </w:rPr>
        <w:t>P</w:t>
      </w:r>
      <w:r w:rsidRPr="008449B3">
        <w:rPr>
          <w:b/>
          <w:i/>
        </w:rPr>
        <w:t>roposal 6: Study BD/CCE limits enhancement to allocate more BD/CCE budgets for the cells with simultaneous operations</w:t>
      </w:r>
      <w:r w:rsidRPr="008449B3">
        <w:rPr>
          <w:i/>
        </w:rPr>
        <w:t>.</w:t>
      </w:r>
    </w:p>
    <w:p w14:paraId="5283B135" w14:textId="77777777" w:rsidR="00306204" w:rsidRPr="008449B3" w:rsidRDefault="00306204" w:rsidP="00306204">
      <w:pPr>
        <w:spacing w:after="120"/>
        <w:ind w:left="330" w:hangingChars="150" w:hanging="330"/>
        <w:rPr>
          <w:i/>
        </w:rPr>
      </w:pPr>
      <w:r w:rsidRPr="008449B3">
        <w:rPr>
          <w:rFonts w:hint="eastAsia"/>
          <w:b/>
          <w:i/>
        </w:rPr>
        <w:t>P</w:t>
      </w:r>
      <w:r w:rsidRPr="008449B3">
        <w:rPr>
          <w:b/>
          <w:i/>
        </w:rPr>
        <w:t>roposal 7: Clarify the target scenarios for inter-band inter-carrier DC to support dual parents among the following options</w:t>
      </w:r>
      <w:r w:rsidRPr="008449B3">
        <w:rPr>
          <w:i/>
        </w:rPr>
        <w:t>.</w:t>
      </w:r>
    </w:p>
    <w:p w14:paraId="21321399" w14:textId="77777777" w:rsidR="00306204" w:rsidRPr="008449B3" w:rsidRDefault="00306204" w:rsidP="00306204">
      <w:pPr>
        <w:pStyle w:val="a7"/>
        <w:numPr>
          <w:ilvl w:val="0"/>
          <w:numId w:val="21"/>
        </w:numPr>
        <w:spacing w:after="120"/>
        <w:ind w:leftChars="0"/>
        <w:rPr>
          <w:b/>
          <w:i/>
        </w:rPr>
      </w:pPr>
      <w:r w:rsidRPr="008449B3">
        <w:rPr>
          <w:rFonts w:hint="eastAsia"/>
          <w:b/>
          <w:i/>
        </w:rPr>
        <w:t>C</w:t>
      </w:r>
      <w:r w:rsidRPr="008449B3">
        <w:rPr>
          <w:b/>
          <w:i/>
        </w:rPr>
        <w:t>ase #1: The IAB-MT has two parent DUs through inter-band inter-carrier DC while the IAB-DU establishes a single set of cells to the MT of child node within a single band (i.e. without configuring DC for the child node).</w:t>
      </w:r>
    </w:p>
    <w:p w14:paraId="7B5A5E46" w14:textId="1703254B" w:rsidR="00306204" w:rsidRPr="008449B3" w:rsidRDefault="00306204" w:rsidP="008449B3">
      <w:pPr>
        <w:pStyle w:val="a7"/>
        <w:numPr>
          <w:ilvl w:val="0"/>
          <w:numId w:val="21"/>
        </w:numPr>
        <w:spacing w:after="120"/>
        <w:ind w:leftChars="0"/>
        <w:rPr>
          <w:b/>
          <w:i/>
        </w:rPr>
      </w:pPr>
      <w:r w:rsidRPr="008449B3">
        <w:rPr>
          <w:rFonts w:hint="eastAsia"/>
          <w:b/>
          <w:i/>
        </w:rPr>
        <w:t>C</w:t>
      </w:r>
      <w:r w:rsidRPr="008449B3">
        <w:rPr>
          <w:b/>
          <w:i/>
        </w:rPr>
        <w:t>ase #2: The IAB-MT has two parent DUs through inter-band inter-carrier DC and the IAB-DU also configures DC to the MT of child node.</w:t>
      </w:r>
    </w:p>
    <w:p w14:paraId="2E0EE9E7" w14:textId="6EBA7008" w:rsidR="00306204" w:rsidRPr="008449B3" w:rsidRDefault="00306204" w:rsidP="008449B3">
      <w:pPr>
        <w:spacing w:after="120"/>
        <w:ind w:left="330" w:hangingChars="150" w:hanging="330"/>
        <w:rPr>
          <w:i/>
        </w:rPr>
      </w:pPr>
      <w:r w:rsidRPr="008449B3">
        <w:rPr>
          <w:rFonts w:hint="eastAsia"/>
          <w:b/>
          <w:i/>
        </w:rPr>
        <w:t>P</w:t>
      </w:r>
      <w:r w:rsidRPr="008449B3">
        <w:rPr>
          <w:b/>
          <w:i/>
        </w:rPr>
        <w:t xml:space="preserve">roposal 8: If Case #2 in proposal 7 is the target scenario, then adopt the TP in </w:t>
      </w:r>
      <w:r w:rsidRPr="008449B3">
        <w:rPr>
          <w:b/>
          <w:i/>
        </w:rPr>
        <w:fldChar w:fldCharType="begin"/>
      </w:r>
      <w:r w:rsidRPr="008449B3">
        <w:rPr>
          <w:b/>
          <w:i/>
        </w:rPr>
        <w:instrText xml:space="preserve"> REF _Ref68268322 \h  \* MERGEFORMAT </w:instrText>
      </w:r>
      <w:r w:rsidRPr="008449B3">
        <w:rPr>
          <w:b/>
          <w:i/>
        </w:rPr>
      </w:r>
      <w:r w:rsidRPr="008449B3">
        <w:rPr>
          <w:b/>
          <w:i/>
        </w:rPr>
        <w:fldChar w:fldCharType="separate"/>
      </w:r>
      <w:r w:rsidRPr="008449B3">
        <w:rPr>
          <w:b/>
          <w:i/>
        </w:rPr>
        <w:t xml:space="preserve">Table </w:t>
      </w:r>
      <w:r w:rsidRPr="008449B3">
        <w:rPr>
          <w:b/>
          <w:i/>
          <w:noProof/>
        </w:rPr>
        <w:t>5</w:t>
      </w:r>
      <w:r w:rsidRPr="008449B3">
        <w:rPr>
          <w:b/>
          <w:i/>
        </w:rPr>
        <w:fldChar w:fldCharType="end"/>
      </w:r>
      <w:r w:rsidRPr="008449B3">
        <w:rPr>
          <w:b/>
          <w:i/>
        </w:rPr>
        <w:t>.</w:t>
      </w:r>
    </w:p>
    <w:p w14:paraId="25724FA6" w14:textId="77777777" w:rsidR="00306204" w:rsidRPr="008449B3" w:rsidRDefault="00306204" w:rsidP="00306204">
      <w:pPr>
        <w:spacing w:after="120"/>
        <w:rPr>
          <w:b/>
          <w:i/>
        </w:rPr>
      </w:pPr>
      <w:r w:rsidRPr="008449B3">
        <w:rPr>
          <w:rFonts w:hint="eastAsia"/>
          <w:b/>
          <w:i/>
        </w:rPr>
        <w:t>P</w:t>
      </w:r>
      <w:r w:rsidRPr="008449B3">
        <w:rPr>
          <w:b/>
          <w:i/>
        </w:rPr>
        <w:t>roposal 9: Consider to handle intra-carrier DC in the future releases</w:t>
      </w:r>
    </w:p>
    <w:p w14:paraId="2D666BDF" w14:textId="77777777" w:rsidR="00306204" w:rsidRPr="008449B3" w:rsidRDefault="00306204" w:rsidP="00306204">
      <w:pPr>
        <w:pStyle w:val="a7"/>
        <w:numPr>
          <w:ilvl w:val="0"/>
          <w:numId w:val="15"/>
        </w:numPr>
        <w:spacing w:after="120"/>
        <w:ind w:leftChars="0"/>
        <w:rPr>
          <w:b/>
          <w:i/>
        </w:rPr>
      </w:pPr>
      <w:r w:rsidRPr="008449B3">
        <w:rPr>
          <w:b/>
          <w:i/>
        </w:rPr>
        <w:t>Joint operation of “</w:t>
      </w:r>
      <w:proofErr w:type="spellStart"/>
      <w:r w:rsidRPr="008449B3">
        <w:rPr>
          <w:b/>
          <w:i/>
        </w:rPr>
        <w:t>mTRP</w:t>
      </w:r>
      <w:proofErr w:type="spellEnd"/>
      <w:r w:rsidRPr="008449B3">
        <w:rPr>
          <w:b/>
          <w:i/>
        </w:rPr>
        <w:t>” + “Rel-16 TEI on half duplex CA” can be a good starting point for dual parent IAB via intra-carrier DC</w:t>
      </w:r>
    </w:p>
    <w:p w14:paraId="0BBBBC2A" w14:textId="77777777" w:rsidR="0058121D" w:rsidRPr="00B90473"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3CA6BD69" w:rsidR="002F6510" w:rsidRDefault="00FF700B" w:rsidP="002F6510">
      <w:pPr>
        <w:pStyle w:val="a7"/>
        <w:numPr>
          <w:ilvl w:val="0"/>
          <w:numId w:val="3"/>
        </w:numPr>
        <w:spacing w:after="120"/>
        <w:ind w:leftChars="0"/>
      </w:pPr>
      <w:bookmarkStart w:id="11" w:name="_Ref61254254"/>
      <w:bookmarkStart w:id="12" w:name="_Ref498526702"/>
      <w:r>
        <w:rPr>
          <w:rFonts w:hint="eastAsia"/>
        </w:rPr>
        <w:t>3</w:t>
      </w:r>
      <w:r>
        <w:t>GPP RAN1#103-e Chair notes</w:t>
      </w:r>
      <w:bookmarkEnd w:id="11"/>
    </w:p>
    <w:p w14:paraId="3ED21C18" w14:textId="530E8C3A" w:rsidR="00C07E78" w:rsidRDefault="00C07E78" w:rsidP="002F6510">
      <w:pPr>
        <w:pStyle w:val="a7"/>
        <w:numPr>
          <w:ilvl w:val="0"/>
          <w:numId w:val="3"/>
        </w:numPr>
        <w:spacing w:after="120"/>
        <w:ind w:leftChars="0"/>
      </w:pPr>
      <w:bookmarkStart w:id="13" w:name="_Ref68252926"/>
      <w:r>
        <w:rPr>
          <w:rFonts w:hint="eastAsia"/>
        </w:rPr>
        <w:t>3</w:t>
      </w:r>
      <w:r>
        <w:t>GPP RAN1#104-e Chair notes</w:t>
      </w:r>
      <w:bookmarkEnd w:id="13"/>
    </w:p>
    <w:p w14:paraId="7011F6F6" w14:textId="458E574D" w:rsidR="00BB2D2E" w:rsidRDefault="00DD09FD" w:rsidP="002F6510">
      <w:pPr>
        <w:pStyle w:val="a7"/>
        <w:numPr>
          <w:ilvl w:val="0"/>
          <w:numId w:val="3"/>
        </w:numPr>
        <w:spacing w:after="120"/>
        <w:ind w:leftChars="0"/>
      </w:pPr>
      <w:bookmarkStart w:id="14" w:name="_Ref61256440"/>
      <w:r>
        <w:t xml:space="preserve">3GPP </w:t>
      </w:r>
      <w:r w:rsidR="00BB2D2E" w:rsidRPr="00BB2D2E">
        <w:t>TS38.473</w:t>
      </w:r>
      <w:bookmarkEnd w:id="14"/>
      <w:r>
        <w:t xml:space="preserve"> (V16.3.1) F1 application protocol (F1AP)</w:t>
      </w:r>
    </w:p>
    <w:p w14:paraId="30AF266D" w14:textId="34AE1D90" w:rsidR="00BB2D2E" w:rsidRDefault="00BB2D2E" w:rsidP="002F6510">
      <w:pPr>
        <w:pStyle w:val="a7"/>
        <w:numPr>
          <w:ilvl w:val="0"/>
          <w:numId w:val="3"/>
        </w:numPr>
        <w:spacing w:after="120"/>
        <w:ind w:leftChars="0"/>
      </w:pPr>
      <w:bookmarkStart w:id="15" w:name="_Ref61270321"/>
      <w:r>
        <w:t>3GPP RAN#90-e Chair notes</w:t>
      </w:r>
      <w:bookmarkEnd w:id="15"/>
    </w:p>
    <w:p w14:paraId="16B0DF1A" w14:textId="34CD648C" w:rsidR="006C4C75" w:rsidRDefault="006C4C75" w:rsidP="002F6510">
      <w:pPr>
        <w:pStyle w:val="a7"/>
        <w:numPr>
          <w:ilvl w:val="0"/>
          <w:numId w:val="3"/>
        </w:numPr>
        <w:spacing w:after="120"/>
        <w:ind w:leftChars="0"/>
      </w:pPr>
      <w:bookmarkStart w:id="16" w:name="_Ref68249366"/>
      <w:r>
        <w:rPr>
          <w:rFonts w:hint="eastAsia"/>
        </w:rPr>
        <w:t>R</w:t>
      </w:r>
      <w:r>
        <w:t xml:space="preserve">1-2101084, Discussion on simultaneous operation enhancements for </w:t>
      </w:r>
      <w:proofErr w:type="spellStart"/>
      <w:r>
        <w:t>eIAB</w:t>
      </w:r>
      <w:proofErr w:type="spellEnd"/>
      <w:r>
        <w:t>, ETRI</w:t>
      </w:r>
      <w:bookmarkEnd w:id="16"/>
    </w:p>
    <w:p w14:paraId="6AEA2600" w14:textId="4350C3C3" w:rsidR="006C4C75" w:rsidRPr="002F6510" w:rsidRDefault="006C4C75" w:rsidP="002F6510">
      <w:pPr>
        <w:pStyle w:val="a7"/>
        <w:numPr>
          <w:ilvl w:val="0"/>
          <w:numId w:val="3"/>
        </w:numPr>
        <w:spacing w:after="120"/>
        <w:ind w:leftChars="0"/>
      </w:pPr>
      <w:bookmarkStart w:id="17" w:name="_Ref68249368"/>
      <w:r>
        <w:rPr>
          <w:rFonts w:hint="eastAsia"/>
        </w:rPr>
        <w:t>R</w:t>
      </w:r>
      <w:r>
        <w:t xml:space="preserve">1-2101085, Other enhancements to </w:t>
      </w:r>
      <w:proofErr w:type="spellStart"/>
      <w:r>
        <w:t>eIAB</w:t>
      </w:r>
      <w:proofErr w:type="spellEnd"/>
      <w:r>
        <w:t>, ETRI</w:t>
      </w:r>
      <w:bookmarkEnd w:id="17"/>
    </w:p>
    <w:bookmarkEnd w:id="12"/>
    <w:p w14:paraId="4DA38047" w14:textId="77777777" w:rsidR="0058121D" w:rsidRDefault="0058121D" w:rsidP="0058121D">
      <w:pPr>
        <w:pBdr>
          <w:bottom w:val="single" w:sz="12" w:space="1" w:color="auto"/>
        </w:pBdr>
        <w:spacing w:after="120"/>
      </w:pPr>
    </w:p>
    <w:p w14:paraId="118A0628" w14:textId="77777777" w:rsidR="00044779" w:rsidRPr="00483929" w:rsidRDefault="00044779" w:rsidP="00772BE5">
      <w:pPr>
        <w:spacing w:after="120"/>
      </w:pPr>
    </w:p>
    <w:sectPr w:rsidR="00044779" w:rsidRPr="00483929"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D81AB" w14:textId="77777777" w:rsidR="0082459F" w:rsidRDefault="0082459F" w:rsidP="00334902">
      <w:pPr>
        <w:spacing w:after="120"/>
      </w:pPr>
      <w:r>
        <w:separator/>
      </w:r>
    </w:p>
  </w:endnote>
  <w:endnote w:type="continuationSeparator" w:id="0">
    <w:p w14:paraId="3304C38B" w14:textId="77777777" w:rsidR="0082459F" w:rsidRDefault="0082459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n-cs">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6037CB" w:rsidRDefault="006037CB">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6037CB" w:rsidRPr="006A7292" w:rsidRDefault="006037CB">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6037CB" w:rsidRPr="006A7292" w:rsidRDefault="006037CB">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6037CB" w:rsidRDefault="006037CB">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0CBB7" w14:textId="77777777" w:rsidR="0082459F" w:rsidRDefault="0082459F" w:rsidP="00334902">
      <w:pPr>
        <w:spacing w:after="120"/>
      </w:pPr>
      <w:r>
        <w:separator/>
      </w:r>
    </w:p>
  </w:footnote>
  <w:footnote w:type="continuationSeparator" w:id="0">
    <w:p w14:paraId="05D1582D" w14:textId="77777777" w:rsidR="0082459F" w:rsidRDefault="0082459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6037CB" w:rsidRDefault="006037CB">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6037CB" w:rsidRDefault="006037CB">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6037CB" w:rsidRDefault="006037CB">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238B"/>
    <w:multiLevelType w:val="hybridMultilevel"/>
    <w:tmpl w:val="9190C1C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01493"/>
    <w:multiLevelType w:val="hybridMultilevel"/>
    <w:tmpl w:val="B6B25A50"/>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1324F1"/>
    <w:multiLevelType w:val="hybridMultilevel"/>
    <w:tmpl w:val="B56435F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DD861E6"/>
    <w:multiLevelType w:val="hybridMultilevel"/>
    <w:tmpl w:val="225C6C1A"/>
    <w:lvl w:ilvl="0" w:tplc="A7107954">
      <w:start w:val="1"/>
      <w:numFmt w:val="bullet"/>
      <w:lvlText w:val=""/>
      <w:lvlJc w:val="left"/>
      <w:pPr>
        <w:tabs>
          <w:tab w:val="num" w:pos="292"/>
        </w:tabs>
        <w:ind w:left="292" w:hanging="360"/>
      </w:pPr>
      <w:rPr>
        <w:rFonts w:ascii="Symbol" w:hAnsi="Symbol" w:hint="default"/>
      </w:rPr>
    </w:lvl>
    <w:lvl w:ilvl="1" w:tplc="1BA284BA" w:tentative="1">
      <w:start w:val="1"/>
      <w:numFmt w:val="bullet"/>
      <w:lvlText w:val=""/>
      <w:lvlJc w:val="left"/>
      <w:pPr>
        <w:tabs>
          <w:tab w:val="num" w:pos="1012"/>
        </w:tabs>
        <w:ind w:left="1012" w:hanging="360"/>
      </w:pPr>
      <w:rPr>
        <w:rFonts w:ascii="Symbol" w:hAnsi="Symbol" w:hint="default"/>
      </w:rPr>
    </w:lvl>
    <w:lvl w:ilvl="2" w:tplc="59A8F216" w:tentative="1">
      <w:start w:val="1"/>
      <w:numFmt w:val="bullet"/>
      <w:lvlText w:val=""/>
      <w:lvlJc w:val="left"/>
      <w:pPr>
        <w:tabs>
          <w:tab w:val="num" w:pos="1732"/>
        </w:tabs>
        <w:ind w:left="1732" w:hanging="360"/>
      </w:pPr>
      <w:rPr>
        <w:rFonts w:ascii="Symbol" w:hAnsi="Symbol" w:hint="default"/>
      </w:rPr>
    </w:lvl>
    <w:lvl w:ilvl="3" w:tplc="013CA9CC" w:tentative="1">
      <w:start w:val="1"/>
      <w:numFmt w:val="bullet"/>
      <w:lvlText w:val=""/>
      <w:lvlJc w:val="left"/>
      <w:pPr>
        <w:tabs>
          <w:tab w:val="num" w:pos="2452"/>
        </w:tabs>
        <w:ind w:left="2452" w:hanging="360"/>
      </w:pPr>
      <w:rPr>
        <w:rFonts w:ascii="Symbol" w:hAnsi="Symbol" w:hint="default"/>
      </w:rPr>
    </w:lvl>
    <w:lvl w:ilvl="4" w:tplc="74601E02" w:tentative="1">
      <w:start w:val="1"/>
      <w:numFmt w:val="bullet"/>
      <w:lvlText w:val=""/>
      <w:lvlJc w:val="left"/>
      <w:pPr>
        <w:tabs>
          <w:tab w:val="num" w:pos="3172"/>
        </w:tabs>
        <w:ind w:left="3172" w:hanging="360"/>
      </w:pPr>
      <w:rPr>
        <w:rFonts w:ascii="Symbol" w:hAnsi="Symbol" w:hint="default"/>
      </w:rPr>
    </w:lvl>
    <w:lvl w:ilvl="5" w:tplc="B6300306" w:tentative="1">
      <w:start w:val="1"/>
      <w:numFmt w:val="bullet"/>
      <w:lvlText w:val=""/>
      <w:lvlJc w:val="left"/>
      <w:pPr>
        <w:tabs>
          <w:tab w:val="num" w:pos="3892"/>
        </w:tabs>
        <w:ind w:left="3892" w:hanging="360"/>
      </w:pPr>
      <w:rPr>
        <w:rFonts w:ascii="Symbol" w:hAnsi="Symbol" w:hint="default"/>
      </w:rPr>
    </w:lvl>
    <w:lvl w:ilvl="6" w:tplc="6B9EFE9E" w:tentative="1">
      <w:start w:val="1"/>
      <w:numFmt w:val="bullet"/>
      <w:lvlText w:val=""/>
      <w:lvlJc w:val="left"/>
      <w:pPr>
        <w:tabs>
          <w:tab w:val="num" w:pos="4612"/>
        </w:tabs>
        <w:ind w:left="4612" w:hanging="360"/>
      </w:pPr>
      <w:rPr>
        <w:rFonts w:ascii="Symbol" w:hAnsi="Symbol" w:hint="default"/>
      </w:rPr>
    </w:lvl>
    <w:lvl w:ilvl="7" w:tplc="A4DE7FC8" w:tentative="1">
      <w:start w:val="1"/>
      <w:numFmt w:val="bullet"/>
      <w:lvlText w:val=""/>
      <w:lvlJc w:val="left"/>
      <w:pPr>
        <w:tabs>
          <w:tab w:val="num" w:pos="5332"/>
        </w:tabs>
        <w:ind w:left="5332" w:hanging="360"/>
      </w:pPr>
      <w:rPr>
        <w:rFonts w:ascii="Symbol" w:hAnsi="Symbol" w:hint="default"/>
      </w:rPr>
    </w:lvl>
    <w:lvl w:ilvl="8" w:tplc="9EC0BC6A" w:tentative="1">
      <w:start w:val="1"/>
      <w:numFmt w:val="bullet"/>
      <w:lvlText w:val=""/>
      <w:lvlJc w:val="left"/>
      <w:pPr>
        <w:tabs>
          <w:tab w:val="num" w:pos="6052"/>
        </w:tabs>
        <w:ind w:left="6052" w:hanging="360"/>
      </w:pPr>
      <w:rPr>
        <w:rFonts w:ascii="Symbol" w:hAnsi="Symbol" w:hint="default"/>
      </w:rPr>
    </w:lvl>
  </w:abstractNum>
  <w:abstractNum w:abstractNumId="12"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BA97202"/>
    <w:multiLevelType w:val="hybridMultilevel"/>
    <w:tmpl w:val="603EC49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727C6"/>
    <w:multiLevelType w:val="hybridMultilevel"/>
    <w:tmpl w:val="8C5C335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7A24C4"/>
    <w:multiLevelType w:val="hybridMultilevel"/>
    <w:tmpl w:val="3ECEDB22"/>
    <w:lvl w:ilvl="0" w:tplc="544E9572">
      <w:start w:val="1"/>
      <w:numFmt w:val="bullet"/>
      <w:lvlText w:val=""/>
      <w:lvlJc w:val="left"/>
      <w:pPr>
        <w:tabs>
          <w:tab w:val="num" w:pos="78"/>
        </w:tabs>
        <w:ind w:left="78" w:hanging="360"/>
      </w:pPr>
      <w:rPr>
        <w:rFonts w:ascii="Symbol" w:hAnsi="Symbol" w:hint="default"/>
      </w:rPr>
    </w:lvl>
    <w:lvl w:ilvl="1" w:tplc="D27452AA">
      <w:numFmt w:val="bullet"/>
      <w:lvlText w:val="o"/>
      <w:lvlJc w:val="left"/>
      <w:pPr>
        <w:tabs>
          <w:tab w:val="num" w:pos="798"/>
        </w:tabs>
        <w:ind w:left="798" w:hanging="360"/>
      </w:pPr>
      <w:rPr>
        <w:rFonts w:ascii="Courier New" w:hAnsi="Courier New" w:hint="default"/>
      </w:rPr>
    </w:lvl>
    <w:lvl w:ilvl="2" w:tplc="AD68E870" w:tentative="1">
      <w:start w:val="1"/>
      <w:numFmt w:val="bullet"/>
      <w:lvlText w:val=""/>
      <w:lvlJc w:val="left"/>
      <w:pPr>
        <w:tabs>
          <w:tab w:val="num" w:pos="1518"/>
        </w:tabs>
        <w:ind w:left="1518" w:hanging="360"/>
      </w:pPr>
      <w:rPr>
        <w:rFonts w:ascii="Symbol" w:hAnsi="Symbol" w:hint="default"/>
      </w:rPr>
    </w:lvl>
    <w:lvl w:ilvl="3" w:tplc="9B407EA6" w:tentative="1">
      <w:start w:val="1"/>
      <w:numFmt w:val="bullet"/>
      <w:lvlText w:val=""/>
      <w:lvlJc w:val="left"/>
      <w:pPr>
        <w:tabs>
          <w:tab w:val="num" w:pos="2238"/>
        </w:tabs>
        <w:ind w:left="2238" w:hanging="360"/>
      </w:pPr>
      <w:rPr>
        <w:rFonts w:ascii="Symbol" w:hAnsi="Symbol" w:hint="default"/>
      </w:rPr>
    </w:lvl>
    <w:lvl w:ilvl="4" w:tplc="05EEC156" w:tentative="1">
      <w:start w:val="1"/>
      <w:numFmt w:val="bullet"/>
      <w:lvlText w:val=""/>
      <w:lvlJc w:val="left"/>
      <w:pPr>
        <w:tabs>
          <w:tab w:val="num" w:pos="2958"/>
        </w:tabs>
        <w:ind w:left="2958" w:hanging="360"/>
      </w:pPr>
      <w:rPr>
        <w:rFonts w:ascii="Symbol" w:hAnsi="Symbol" w:hint="default"/>
      </w:rPr>
    </w:lvl>
    <w:lvl w:ilvl="5" w:tplc="93C46D96" w:tentative="1">
      <w:start w:val="1"/>
      <w:numFmt w:val="bullet"/>
      <w:lvlText w:val=""/>
      <w:lvlJc w:val="left"/>
      <w:pPr>
        <w:tabs>
          <w:tab w:val="num" w:pos="3678"/>
        </w:tabs>
        <w:ind w:left="3678" w:hanging="360"/>
      </w:pPr>
      <w:rPr>
        <w:rFonts w:ascii="Symbol" w:hAnsi="Symbol" w:hint="default"/>
      </w:rPr>
    </w:lvl>
    <w:lvl w:ilvl="6" w:tplc="9C3E753C" w:tentative="1">
      <w:start w:val="1"/>
      <w:numFmt w:val="bullet"/>
      <w:lvlText w:val=""/>
      <w:lvlJc w:val="left"/>
      <w:pPr>
        <w:tabs>
          <w:tab w:val="num" w:pos="4398"/>
        </w:tabs>
        <w:ind w:left="4398" w:hanging="360"/>
      </w:pPr>
      <w:rPr>
        <w:rFonts w:ascii="Symbol" w:hAnsi="Symbol" w:hint="default"/>
      </w:rPr>
    </w:lvl>
    <w:lvl w:ilvl="7" w:tplc="FBDA82B2" w:tentative="1">
      <w:start w:val="1"/>
      <w:numFmt w:val="bullet"/>
      <w:lvlText w:val=""/>
      <w:lvlJc w:val="left"/>
      <w:pPr>
        <w:tabs>
          <w:tab w:val="num" w:pos="5118"/>
        </w:tabs>
        <w:ind w:left="5118" w:hanging="360"/>
      </w:pPr>
      <w:rPr>
        <w:rFonts w:ascii="Symbol" w:hAnsi="Symbol" w:hint="default"/>
      </w:rPr>
    </w:lvl>
    <w:lvl w:ilvl="8" w:tplc="46F45E2A" w:tentative="1">
      <w:start w:val="1"/>
      <w:numFmt w:val="bullet"/>
      <w:lvlText w:val=""/>
      <w:lvlJc w:val="left"/>
      <w:pPr>
        <w:tabs>
          <w:tab w:val="num" w:pos="5838"/>
        </w:tabs>
        <w:ind w:left="5838" w:hanging="360"/>
      </w:pPr>
      <w:rPr>
        <w:rFonts w:ascii="Symbol" w:hAnsi="Symbol" w:hint="default"/>
      </w:rPr>
    </w:lvl>
  </w:abstractNum>
  <w:num w:numId="1">
    <w:abstractNumId w:val="13"/>
  </w:num>
  <w:num w:numId="2">
    <w:abstractNumId w:val="16"/>
  </w:num>
  <w:num w:numId="3">
    <w:abstractNumId w:val="1"/>
  </w:num>
  <w:num w:numId="4">
    <w:abstractNumId w:val="2"/>
  </w:num>
  <w:num w:numId="5">
    <w:abstractNumId w:val="17"/>
  </w:num>
  <w:num w:numId="6">
    <w:abstractNumId w:val="0"/>
  </w:num>
  <w:num w:numId="7">
    <w:abstractNumId w:val="8"/>
  </w:num>
  <w:num w:numId="8">
    <w:abstractNumId w:val="10"/>
  </w:num>
  <w:num w:numId="9">
    <w:abstractNumId w:val="12"/>
  </w:num>
  <w:num w:numId="10">
    <w:abstractNumId w:val="11"/>
  </w:num>
  <w:num w:numId="11">
    <w:abstractNumId w:val="20"/>
  </w:num>
  <w:num w:numId="12">
    <w:abstractNumId w:val="9"/>
  </w:num>
  <w:num w:numId="13">
    <w:abstractNumId w:val="5"/>
  </w:num>
  <w:num w:numId="14">
    <w:abstractNumId w:val="4"/>
  </w:num>
  <w:num w:numId="15">
    <w:abstractNumId w:val="15"/>
  </w:num>
  <w:num w:numId="16">
    <w:abstractNumId w:val="18"/>
  </w:num>
  <w:num w:numId="17">
    <w:abstractNumId w:val="7"/>
  </w:num>
  <w:num w:numId="18">
    <w:abstractNumId w:val="19"/>
  </w:num>
  <w:num w:numId="19">
    <w:abstractNumId w:val="14"/>
  </w:num>
  <w:num w:numId="20">
    <w:abstractNumId w:val="6"/>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5077"/>
    <w:rsid w:val="000150B3"/>
    <w:rsid w:val="000154B5"/>
    <w:rsid w:val="000157C6"/>
    <w:rsid w:val="00015CA1"/>
    <w:rsid w:val="00015D6A"/>
    <w:rsid w:val="000174C7"/>
    <w:rsid w:val="000179E3"/>
    <w:rsid w:val="00020746"/>
    <w:rsid w:val="00025107"/>
    <w:rsid w:val="0002516B"/>
    <w:rsid w:val="0002548E"/>
    <w:rsid w:val="00030B93"/>
    <w:rsid w:val="000311F5"/>
    <w:rsid w:val="000315DF"/>
    <w:rsid w:val="00031702"/>
    <w:rsid w:val="0003175D"/>
    <w:rsid w:val="00032260"/>
    <w:rsid w:val="000326A6"/>
    <w:rsid w:val="00033287"/>
    <w:rsid w:val="000351A3"/>
    <w:rsid w:val="00040705"/>
    <w:rsid w:val="0004095F"/>
    <w:rsid w:val="00041080"/>
    <w:rsid w:val="00041B62"/>
    <w:rsid w:val="00042060"/>
    <w:rsid w:val="0004249A"/>
    <w:rsid w:val="000436E9"/>
    <w:rsid w:val="00044597"/>
    <w:rsid w:val="00044779"/>
    <w:rsid w:val="000467AA"/>
    <w:rsid w:val="000503B8"/>
    <w:rsid w:val="00051334"/>
    <w:rsid w:val="00051369"/>
    <w:rsid w:val="00051DC7"/>
    <w:rsid w:val="00053517"/>
    <w:rsid w:val="00053F52"/>
    <w:rsid w:val="0005471B"/>
    <w:rsid w:val="00054D15"/>
    <w:rsid w:val="00055C2D"/>
    <w:rsid w:val="0005698B"/>
    <w:rsid w:val="000572EB"/>
    <w:rsid w:val="00057D87"/>
    <w:rsid w:val="0006140F"/>
    <w:rsid w:val="00061DC4"/>
    <w:rsid w:val="00062940"/>
    <w:rsid w:val="00062D1F"/>
    <w:rsid w:val="00063365"/>
    <w:rsid w:val="00063394"/>
    <w:rsid w:val="00063C55"/>
    <w:rsid w:val="00063E69"/>
    <w:rsid w:val="000643FB"/>
    <w:rsid w:val="0006457F"/>
    <w:rsid w:val="00064BAB"/>
    <w:rsid w:val="000654E9"/>
    <w:rsid w:val="0006739A"/>
    <w:rsid w:val="000677E3"/>
    <w:rsid w:val="0007052A"/>
    <w:rsid w:val="00070C6B"/>
    <w:rsid w:val="000711F2"/>
    <w:rsid w:val="00071EC1"/>
    <w:rsid w:val="000725CE"/>
    <w:rsid w:val="0007289D"/>
    <w:rsid w:val="00072D9B"/>
    <w:rsid w:val="00072E5E"/>
    <w:rsid w:val="00073038"/>
    <w:rsid w:val="000734D3"/>
    <w:rsid w:val="0007417A"/>
    <w:rsid w:val="00074DBD"/>
    <w:rsid w:val="00075E97"/>
    <w:rsid w:val="00076217"/>
    <w:rsid w:val="0007638C"/>
    <w:rsid w:val="00076876"/>
    <w:rsid w:val="00076EA8"/>
    <w:rsid w:val="000804D3"/>
    <w:rsid w:val="0008099F"/>
    <w:rsid w:val="0008301D"/>
    <w:rsid w:val="0008379C"/>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228"/>
    <w:rsid w:val="000A2633"/>
    <w:rsid w:val="000A2976"/>
    <w:rsid w:val="000A3363"/>
    <w:rsid w:val="000A3513"/>
    <w:rsid w:val="000A5647"/>
    <w:rsid w:val="000A565B"/>
    <w:rsid w:val="000A5723"/>
    <w:rsid w:val="000A629F"/>
    <w:rsid w:val="000A6663"/>
    <w:rsid w:val="000A741D"/>
    <w:rsid w:val="000B10DB"/>
    <w:rsid w:val="000B1924"/>
    <w:rsid w:val="000B1CA5"/>
    <w:rsid w:val="000B433D"/>
    <w:rsid w:val="000B4E8A"/>
    <w:rsid w:val="000B6AB4"/>
    <w:rsid w:val="000B74C6"/>
    <w:rsid w:val="000B7B24"/>
    <w:rsid w:val="000B7E23"/>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582C"/>
    <w:rsid w:val="000D696A"/>
    <w:rsid w:val="000D6B46"/>
    <w:rsid w:val="000E07B8"/>
    <w:rsid w:val="000E1753"/>
    <w:rsid w:val="000E312E"/>
    <w:rsid w:val="000E354C"/>
    <w:rsid w:val="000E3588"/>
    <w:rsid w:val="000E476D"/>
    <w:rsid w:val="000E6747"/>
    <w:rsid w:val="000E7395"/>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100242"/>
    <w:rsid w:val="001002CE"/>
    <w:rsid w:val="00100A7C"/>
    <w:rsid w:val="00101511"/>
    <w:rsid w:val="00101D82"/>
    <w:rsid w:val="0010209C"/>
    <w:rsid w:val="001020AC"/>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2159"/>
    <w:rsid w:val="00133A46"/>
    <w:rsid w:val="00133AC8"/>
    <w:rsid w:val="00134698"/>
    <w:rsid w:val="001347DC"/>
    <w:rsid w:val="00136051"/>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4743"/>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40E3"/>
    <w:rsid w:val="0019478B"/>
    <w:rsid w:val="00194E68"/>
    <w:rsid w:val="0019501F"/>
    <w:rsid w:val="001970A1"/>
    <w:rsid w:val="00197752"/>
    <w:rsid w:val="001A0093"/>
    <w:rsid w:val="001A036F"/>
    <w:rsid w:val="001A1264"/>
    <w:rsid w:val="001A1DE0"/>
    <w:rsid w:val="001A2F29"/>
    <w:rsid w:val="001A3227"/>
    <w:rsid w:val="001A3813"/>
    <w:rsid w:val="001A570A"/>
    <w:rsid w:val="001A5871"/>
    <w:rsid w:val="001A65BE"/>
    <w:rsid w:val="001A6D05"/>
    <w:rsid w:val="001A7060"/>
    <w:rsid w:val="001A7F6F"/>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49E4"/>
    <w:rsid w:val="001C5290"/>
    <w:rsid w:val="001C5A19"/>
    <w:rsid w:val="001C6093"/>
    <w:rsid w:val="001C73A6"/>
    <w:rsid w:val="001C7F9C"/>
    <w:rsid w:val="001D0662"/>
    <w:rsid w:val="001D0C2E"/>
    <w:rsid w:val="001D0F55"/>
    <w:rsid w:val="001D11BC"/>
    <w:rsid w:val="001D2635"/>
    <w:rsid w:val="001D26AD"/>
    <w:rsid w:val="001D3258"/>
    <w:rsid w:val="001D4741"/>
    <w:rsid w:val="001D4A4F"/>
    <w:rsid w:val="001D4BA9"/>
    <w:rsid w:val="001D576E"/>
    <w:rsid w:val="001D5AA5"/>
    <w:rsid w:val="001D709A"/>
    <w:rsid w:val="001E06E9"/>
    <w:rsid w:val="001E092A"/>
    <w:rsid w:val="001E1985"/>
    <w:rsid w:val="001E1B05"/>
    <w:rsid w:val="001E283F"/>
    <w:rsid w:val="001E7059"/>
    <w:rsid w:val="001E70F7"/>
    <w:rsid w:val="001E71D5"/>
    <w:rsid w:val="001E78E7"/>
    <w:rsid w:val="001F08A9"/>
    <w:rsid w:val="001F1672"/>
    <w:rsid w:val="001F1F2B"/>
    <w:rsid w:val="001F27F2"/>
    <w:rsid w:val="001F2C56"/>
    <w:rsid w:val="001F33A5"/>
    <w:rsid w:val="001F3620"/>
    <w:rsid w:val="001F3A15"/>
    <w:rsid w:val="001F47A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47A8"/>
    <w:rsid w:val="00224EEE"/>
    <w:rsid w:val="00225992"/>
    <w:rsid w:val="002259B4"/>
    <w:rsid w:val="00230071"/>
    <w:rsid w:val="00230380"/>
    <w:rsid w:val="00230AA3"/>
    <w:rsid w:val="00231E44"/>
    <w:rsid w:val="00231F7F"/>
    <w:rsid w:val="00232FD2"/>
    <w:rsid w:val="00234BDF"/>
    <w:rsid w:val="00236A0E"/>
    <w:rsid w:val="00236B9F"/>
    <w:rsid w:val="00240717"/>
    <w:rsid w:val="0024091E"/>
    <w:rsid w:val="002410BF"/>
    <w:rsid w:val="002412DD"/>
    <w:rsid w:val="00241B21"/>
    <w:rsid w:val="00241D9D"/>
    <w:rsid w:val="0024233C"/>
    <w:rsid w:val="0024564B"/>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4601"/>
    <w:rsid w:val="002569FE"/>
    <w:rsid w:val="00257729"/>
    <w:rsid w:val="00257DAB"/>
    <w:rsid w:val="0026175A"/>
    <w:rsid w:val="00262DBF"/>
    <w:rsid w:val="00262F91"/>
    <w:rsid w:val="0026359B"/>
    <w:rsid w:val="002638E6"/>
    <w:rsid w:val="00263C75"/>
    <w:rsid w:val="00263E6D"/>
    <w:rsid w:val="002644A6"/>
    <w:rsid w:val="002644B8"/>
    <w:rsid w:val="00264651"/>
    <w:rsid w:val="00264763"/>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D76"/>
    <w:rsid w:val="002868CA"/>
    <w:rsid w:val="00286C37"/>
    <w:rsid w:val="00286CF6"/>
    <w:rsid w:val="0028761E"/>
    <w:rsid w:val="002878F0"/>
    <w:rsid w:val="002905A7"/>
    <w:rsid w:val="00290848"/>
    <w:rsid w:val="00290A4F"/>
    <w:rsid w:val="002917A0"/>
    <w:rsid w:val="00291F98"/>
    <w:rsid w:val="00293257"/>
    <w:rsid w:val="00296D59"/>
    <w:rsid w:val="00297449"/>
    <w:rsid w:val="002A1047"/>
    <w:rsid w:val="002A202E"/>
    <w:rsid w:val="002A2210"/>
    <w:rsid w:val="002A242F"/>
    <w:rsid w:val="002A2935"/>
    <w:rsid w:val="002A30A1"/>
    <w:rsid w:val="002A3976"/>
    <w:rsid w:val="002A448F"/>
    <w:rsid w:val="002A45BA"/>
    <w:rsid w:val="002A610A"/>
    <w:rsid w:val="002A69A4"/>
    <w:rsid w:val="002A69BE"/>
    <w:rsid w:val="002A727B"/>
    <w:rsid w:val="002A7A0D"/>
    <w:rsid w:val="002A7C2F"/>
    <w:rsid w:val="002A7E22"/>
    <w:rsid w:val="002A7FDA"/>
    <w:rsid w:val="002B0D62"/>
    <w:rsid w:val="002B10B3"/>
    <w:rsid w:val="002B265D"/>
    <w:rsid w:val="002B28AB"/>
    <w:rsid w:val="002B3E98"/>
    <w:rsid w:val="002B3F4B"/>
    <w:rsid w:val="002B4812"/>
    <w:rsid w:val="002B4903"/>
    <w:rsid w:val="002B716F"/>
    <w:rsid w:val="002B77C9"/>
    <w:rsid w:val="002B7E9B"/>
    <w:rsid w:val="002C2901"/>
    <w:rsid w:val="002C3DD0"/>
    <w:rsid w:val="002C3FFD"/>
    <w:rsid w:val="002C4879"/>
    <w:rsid w:val="002C4A86"/>
    <w:rsid w:val="002C5D5F"/>
    <w:rsid w:val="002C6210"/>
    <w:rsid w:val="002C7399"/>
    <w:rsid w:val="002C78DF"/>
    <w:rsid w:val="002C7FB4"/>
    <w:rsid w:val="002D1C5B"/>
    <w:rsid w:val="002D2585"/>
    <w:rsid w:val="002D2A7E"/>
    <w:rsid w:val="002D35A4"/>
    <w:rsid w:val="002D4400"/>
    <w:rsid w:val="002D4B09"/>
    <w:rsid w:val="002D5259"/>
    <w:rsid w:val="002D5A96"/>
    <w:rsid w:val="002D5E99"/>
    <w:rsid w:val="002D5FCE"/>
    <w:rsid w:val="002D71A1"/>
    <w:rsid w:val="002D77CA"/>
    <w:rsid w:val="002D7EA8"/>
    <w:rsid w:val="002E0F5A"/>
    <w:rsid w:val="002E125F"/>
    <w:rsid w:val="002E264F"/>
    <w:rsid w:val="002E2842"/>
    <w:rsid w:val="002E2CF6"/>
    <w:rsid w:val="002E35B0"/>
    <w:rsid w:val="002E48B5"/>
    <w:rsid w:val="002E5FB5"/>
    <w:rsid w:val="002E6E34"/>
    <w:rsid w:val="002E6EF3"/>
    <w:rsid w:val="002E78FC"/>
    <w:rsid w:val="002E7AA2"/>
    <w:rsid w:val="002F14B7"/>
    <w:rsid w:val="002F2AD3"/>
    <w:rsid w:val="002F37E3"/>
    <w:rsid w:val="002F3FF1"/>
    <w:rsid w:val="002F4127"/>
    <w:rsid w:val="002F53FB"/>
    <w:rsid w:val="002F5DB5"/>
    <w:rsid w:val="002F6241"/>
    <w:rsid w:val="002F6510"/>
    <w:rsid w:val="002F692C"/>
    <w:rsid w:val="002F6C47"/>
    <w:rsid w:val="002F6FC9"/>
    <w:rsid w:val="002F710F"/>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A37"/>
    <w:rsid w:val="00311F31"/>
    <w:rsid w:val="00312572"/>
    <w:rsid w:val="00312DF6"/>
    <w:rsid w:val="00314053"/>
    <w:rsid w:val="00314952"/>
    <w:rsid w:val="00314E9F"/>
    <w:rsid w:val="00314F5C"/>
    <w:rsid w:val="00315573"/>
    <w:rsid w:val="00315D7A"/>
    <w:rsid w:val="00315E39"/>
    <w:rsid w:val="0031607A"/>
    <w:rsid w:val="003214FD"/>
    <w:rsid w:val="00321CFD"/>
    <w:rsid w:val="00323440"/>
    <w:rsid w:val="003234C1"/>
    <w:rsid w:val="00323AB5"/>
    <w:rsid w:val="00323CF3"/>
    <w:rsid w:val="00325770"/>
    <w:rsid w:val="003263BA"/>
    <w:rsid w:val="00327452"/>
    <w:rsid w:val="00327817"/>
    <w:rsid w:val="00327EBA"/>
    <w:rsid w:val="00331660"/>
    <w:rsid w:val="0033268C"/>
    <w:rsid w:val="00332E00"/>
    <w:rsid w:val="00333287"/>
    <w:rsid w:val="00333DE7"/>
    <w:rsid w:val="00334457"/>
    <w:rsid w:val="00334667"/>
    <w:rsid w:val="00334902"/>
    <w:rsid w:val="00336009"/>
    <w:rsid w:val="0033704F"/>
    <w:rsid w:val="003376E2"/>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1D21"/>
    <w:rsid w:val="00351F6D"/>
    <w:rsid w:val="00351F7B"/>
    <w:rsid w:val="00353AAB"/>
    <w:rsid w:val="00353C13"/>
    <w:rsid w:val="00354371"/>
    <w:rsid w:val="0035553E"/>
    <w:rsid w:val="00355924"/>
    <w:rsid w:val="00355A5B"/>
    <w:rsid w:val="00356455"/>
    <w:rsid w:val="0035648E"/>
    <w:rsid w:val="003564DA"/>
    <w:rsid w:val="00356ADD"/>
    <w:rsid w:val="00356F18"/>
    <w:rsid w:val="00361CED"/>
    <w:rsid w:val="0036223D"/>
    <w:rsid w:val="003623E6"/>
    <w:rsid w:val="0036261C"/>
    <w:rsid w:val="0036298A"/>
    <w:rsid w:val="003633B0"/>
    <w:rsid w:val="0036518C"/>
    <w:rsid w:val="00365672"/>
    <w:rsid w:val="00365A76"/>
    <w:rsid w:val="00365EE7"/>
    <w:rsid w:val="00366782"/>
    <w:rsid w:val="0036797A"/>
    <w:rsid w:val="003702C6"/>
    <w:rsid w:val="00371404"/>
    <w:rsid w:val="003734A6"/>
    <w:rsid w:val="003747B4"/>
    <w:rsid w:val="00375275"/>
    <w:rsid w:val="00376076"/>
    <w:rsid w:val="00376792"/>
    <w:rsid w:val="00377588"/>
    <w:rsid w:val="00380595"/>
    <w:rsid w:val="00380C0A"/>
    <w:rsid w:val="00380D78"/>
    <w:rsid w:val="003815B5"/>
    <w:rsid w:val="00382E1A"/>
    <w:rsid w:val="00383CF4"/>
    <w:rsid w:val="00383DD5"/>
    <w:rsid w:val="00384AC1"/>
    <w:rsid w:val="00384C8B"/>
    <w:rsid w:val="00386199"/>
    <w:rsid w:val="003864A2"/>
    <w:rsid w:val="00390838"/>
    <w:rsid w:val="003909B6"/>
    <w:rsid w:val="00391C7F"/>
    <w:rsid w:val="00392F1C"/>
    <w:rsid w:val="00393829"/>
    <w:rsid w:val="0039719F"/>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7A65"/>
    <w:rsid w:val="003B7DA3"/>
    <w:rsid w:val="003C08C8"/>
    <w:rsid w:val="003C0990"/>
    <w:rsid w:val="003C1798"/>
    <w:rsid w:val="003C1872"/>
    <w:rsid w:val="003C2E31"/>
    <w:rsid w:val="003C37C4"/>
    <w:rsid w:val="003C41A8"/>
    <w:rsid w:val="003C45DE"/>
    <w:rsid w:val="003C46B2"/>
    <w:rsid w:val="003C48AE"/>
    <w:rsid w:val="003C502F"/>
    <w:rsid w:val="003C57F1"/>
    <w:rsid w:val="003C72AB"/>
    <w:rsid w:val="003D0511"/>
    <w:rsid w:val="003D286D"/>
    <w:rsid w:val="003D2C87"/>
    <w:rsid w:val="003D2ECB"/>
    <w:rsid w:val="003D30A4"/>
    <w:rsid w:val="003D3781"/>
    <w:rsid w:val="003D4328"/>
    <w:rsid w:val="003D4B44"/>
    <w:rsid w:val="003D503A"/>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F1C8E"/>
    <w:rsid w:val="003F309B"/>
    <w:rsid w:val="003F651F"/>
    <w:rsid w:val="003F6640"/>
    <w:rsid w:val="003F783C"/>
    <w:rsid w:val="00401B46"/>
    <w:rsid w:val="00401BD1"/>
    <w:rsid w:val="00402050"/>
    <w:rsid w:val="00402082"/>
    <w:rsid w:val="00403576"/>
    <w:rsid w:val="00403F1D"/>
    <w:rsid w:val="00403FA7"/>
    <w:rsid w:val="00404113"/>
    <w:rsid w:val="004054A4"/>
    <w:rsid w:val="00405901"/>
    <w:rsid w:val="00405C70"/>
    <w:rsid w:val="00406253"/>
    <w:rsid w:val="00406B49"/>
    <w:rsid w:val="00406F53"/>
    <w:rsid w:val="00407052"/>
    <w:rsid w:val="00407977"/>
    <w:rsid w:val="00407FD3"/>
    <w:rsid w:val="0041118F"/>
    <w:rsid w:val="004116D0"/>
    <w:rsid w:val="00412751"/>
    <w:rsid w:val="00412799"/>
    <w:rsid w:val="00412A5F"/>
    <w:rsid w:val="00414A12"/>
    <w:rsid w:val="004157AC"/>
    <w:rsid w:val="00415B9A"/>
    <w:rsid w:val="00415EAE"/>
    <w:rsid w:val="004171B5"/>
    <w:rsid w:val="00417A2D"/>
    <w:rsid w:val="00417BB3"/>
    <w:rsid w:val="00420C05"/>
    <w:rsid w:val="0042337D"/>
    <w:rsid w:val="00424475"/>
    <w:rsid w:val="00424F02"/>
    <w:rsid w:val="00431862"/>
    <w:rsid w:val="004322A8"/>
    <w:rsid w:val="004345B4"/>
    <w:rsid w:val="00434E03"/>
    <w:rsid w:val="0043599A"/>
    <w:rsid w:val="0044013F"/>
    <w:rsid w:val="004403B1"/>
    <w:rsid w:val="0044117F"/>
    <w:rsid w:val="00441D6D"/>
    <w:rsid w:val="004437DB"/>
    <w:rsid w:val="00443A4E"/>
    <w:rsid w:val="004454BD"/>
    <w:rsid w:val="00445E68"/>
    <w:rsid w:val="004474D2"/>
    <w:rsid w:val="00450818"/>
    <w:rsid w:val="00450ADD"/>
    <w:rsid w:val="00451880"/>
    <w:rsid w:val="00453A22"/>
    <w:rsid w:val="00453D50"/>
    <w:rsid w:val="00453ECB"/>
    <w:rsid w:val="004540A2"/>
    <w:rsid w:val="004544F3"/>
    <w:rsid w:val="00454500"/>
    <w:rsid w:val="004551FA"/>
    <w:rsid w:val="00455491"/>
    <w:rsid w:val="00456937"/>
    <w:rsid w:val="00457406"/>
    <w:rsid w:val="00457CFF"/>
    <w:rsid w:val="00460D43"/>
    <w:rsid w:val="00461382"/>
    <w:rsid w:val="0046165B"/>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C26"/>
    <w:rsid w:val="00477474"/>
    <w:rsid w:val="004800FC"/>
    <w:rsid w:val="00480543"/>
    <w:rsid w:val="0048185F"/>
    <w:rsid w:val="00483490"/>
    <w:rsid w:val="004837AE"/>
    <w:rsid w:val="00483929"/>
    <w:rsid w:val="00485013"/>
    <w:rsid w:val="0048589C"/>
    <w:rsid w:val="00485D65"/>
    <w:rsid w:val="00486F2A"/>
    <w:rsid w:val="00490560"/>
    <w:rsid w:val="004910D2"/>
    <w:rsid w:val="00491B2A"/>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469F"/>
    <w:rsid w:val="004A5365"/>
    <w:rsid w:val="004A5BB3"/>
    <w:rsid w:val="004A6157"/>
    <w:rsid w:val="004A72BF"/>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2623"/>
    <w:rsid w:val="004D2ADF"/>
    <w:rsid w:val="004D4332"/>
    <w:rsid w:val="004D48B8"/>
    <w:rsid w:val="004D5727"/>
    <w:rsid w:val="004D5865"/>
    <w:rsid w:val="004D620B"/>
    <w:rsid w:val="004D6C4F"/>
    <w:rsid w:val="004D7B4C"/>
    <w:rsid w:val="004E1661"/>
    <w:rsid w:val="004E1BBB"/>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5748"/>
    <w:rsid w:val="00500885"/>
    <w:rsid w:val="0050157D"/>
    <w:rsid w:val="005040FE"/>
    <w:rsid w:val="005047B7"/>
    <w:rsid w:val="00504E1B"/>
    <w:rsid w:val="00505292"/>
    <w:rsid w:val="005058FF"/>
    <w:rsid w:val="005067D7"/>
    <w:rsid w:val="0050787E"/>
    <w:rsid w:val="00510231"/>
    <w:rsid w:val="00510795"/>
    <w:rsid w:val="00510A1D"/>
    <w:rsid w:val="00510C77"/>
    <w:rsid w:val="00510CA6"/>
    <w:rsid w:val="00510EB0"/>
    <w:rsid w:val="005119E5"/>
    <w:rsid w:val="005129B7"/>
    <w:rsid w:val="00512A5A"/>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30AF7"/>
    <w:rsid w:val="00531CAB"/>
    <w:rsid w:val="005322F5"/>
    <w:rsid w:val="0053438A"/>
    <w:rsid w:val="005346D5"/>
    <w:rsid w:val="00535F8C"/>
    <w:rsid w:val="005365F0"/>
    <w:rsid w:val="00536CC9"/>
    <w:rsid w:val="00537032"/>
    <w:rsid w:val="0054020C"/>
    <w:rsid w:val="005421E2"/>
    <w:rsid w:val="0054242F"/>
    <w:rsid w:val="00544005"/>
    <w:rsid w:val="00545CEF"/>
    <w:rsid w:val="0054775D"/>
    <w:rsid w:val="00547934"/>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56"/>
    <w:rsid w:val="0055753B"/>
    <w:rsid w:val="00557883"/>
    <w:rsid w:val="00557F67"/>
    <w:rsid w:val="0056103A"/>
    <w:rsid w:val="005618D0"/>
    <w:rsid w:val="00562931"/>
    <w:rsid w:val="00564467"/>
    <w:rsid w:val="00564545"/>
    <w:rsid w:val="00564D89"/>
    <w:rsid w:val="00564F36"/>
    <w:rsid w:val="00564F60"/>
    <w:rsid w:val="00565B05"/>
    <w:rsid w:val="005662B3"/>
    <w:rsid w:val="00566812"/>
    <w:rsid w:val="00566864"/>
    <w:rsid w:val="00567589"/>
    <w:rsid w:val="00567C2E"/>
    <w:rsid w:val="00570136"/>
    <w:rsid w:val="00570936"/>
    <w:rsid w:val="0057096B"/>
    <w:rsid w:val="00570BD4"/>
    <w:rsid w:val="005715A1"/>
    <w:rsid w:val="00571CB6"/>
    <w:rsid w:val="0057278D"/>
    <w:rsid w:val="005727F0"/>
    <w:rsid w:val="00575C4F"/>
    <w:rsid w:val="00575D46"/>
    <w:rsid w:val="005772F2"/>
    <w:rsid w:val="00581018"/>
    <w:rsid w:val="0058121D"/>
    <w:rsid w:val="00582009"/>
    <w:rsid w:val="0058374E"/>
    <w:rsid w:val="00585001"/>
    <w:rsid w:val="00585189"/>
    <w:rsid w:val="00591DBF"/>
    <w:rsid w:val="00594A6F"/>
    <w:rsid w:val="00596E29"/>
    <w:rsid w:val="00597E27"/>
    <w:rsid w:val="00597EB9"/>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53B8"/>
    <w:rsid w:val="005D6167"/>
    <w:rsid w:val="005D6874"/>
    <w:rsid w:val="005E042B"/>
    <w:rsid w:val="005E05B8"/>
    <w:rsid w:val="005E07BD"/>
    <w:rsid w:val="005E1E71"/>
    <w:rsid w:val="005E44EA"/>
    <w:rsid w:val="005E4D27"/>
    <w:rsid w:val="005E5139"/>
    <w:rsid w:val="005E5A87"/>
    <w:rsid w:val="005E68C4"/>
    <w:rsid w:val="005E6EFF"/>
    <w:rsid w:val="005E6FC9"/>
    <w:rsid w:val="005F0539"/>
    <w:rsid w:val="005F104B"/>
    <w:rsid w:val="005F1816"/>
    <w:rsid w:val="005F20FA"/>
    <w:rsid w:val="005F2EBC"/>
    <w:rsid w:val="005F3D0A"/>
    <w:rsid w:val="005F3F71"/>
    <w:rsid w:val="005F4C4C"/>
    <w:rsid w:val="005F5347"/>
    <w:rsid w:val="005F6416"/>
    <w:rsid w:val="005F7655"/>
    <w:rsid w:val="006003CE"/>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639"/>
    <w:rsid w:val="00635CFA"/>
    <w:rsid w:val="006363EE"/>
    <w:rsid w:val="006369FA"/>
    <w:rsid w:val="00637B49"/>
    <w:rsid w:val="00637C0C"/>
    <w:rsid w:val="00640AB3"/>
    <w:rsid w:val="006416F3"/>
    <w:rsid w:val="00643F81"/>
    <w:rsid w:val="0064439A"/>
    <w:rsid w:val="00645860"/>
    <w:rsid w:val="006458BB"/>
    <w:rsid w:val="00646B08"/>
    <w:rsid w:val="00651436"/>
    <w:rsid w:val="00651DEE"/>
    <w:rsid w:val="00652116"/>
    <w:rsid w:val="0065415F"/>
    <w:rsid w:val="00657FD2"/>
    <w:rsid w:val="006618B6"/>
    <w:rsid w:val="00661AA0"/>
    <w:rsid w:val="00662037"/>
    <w:rsid w:val="006638BB"/>
    <w:rsid w:val="00664214"/>
    <w:rsid w:val="00664565"/>
    <w:rsid w:val="00665B01"/>
    <w:rsid w:val="0066605D"/>
    <w:rsid w:val="0066735C"/>
    <w:rsid w:val="0067068D"/>
    <w:rsid w:val="00672A29"/>
    <w:rsid w:val="00673C2D"/>
    <w:rsid w:val="00673D6F"/>
    <w:rsid w:val="00674772"/>
    <w:rsid w:val="006749BA"/>
    <w:rsid w:val="0067566E"/>
    <w:rsid w:val="00675692"/>
    <w:rsid w:val="00676D12"/>
    <w:rsid w:val="00677705"/>
    <w:rsid w:val="00677C33"/>
    <w:rsid w:val="00677DCE"/>
    <w:rsid w:val="00680382"/>
    <w:rsid w:val="00681B60"/>
    <w:rsid w:val="006825F4"/>
    <w:rsid w:val="006828CD"/>
    <w:rsid w:val="00682BF7"/>
    <w:rsid w:val="006830E1"/>
    <w:rsid w:val="00683C9A"/>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B26"/>
    <w:rsid w:val="006A6EA3"/>
    <w:rsid w:val="006A7025"/>
    <w:rsid w:val="006A7292"/>
    <w:rsid w:val="006A7F7C"/>
    <w:rsid w:val="006B240F"/>
    <w:rsid w:val="006B2BCE"/>
    <w:rsid w:val="006B3947"/>
    <w:rsid w:val="006B4948"/>
    <w:rsid w:val="006B5502"/>
    <w:rsid w:val="006B571A"/>
    <w:rsid w:val="006B57BF"/>
    <w:rsid w:val="006B686A"/>
    <w:rsid w:val="006B710B"/>
    <w:rsid w:val="006C2065"/>
    <w:rsid w:val="006C2D05"/>
    <w:rsid w:val="006C3235"/>
    <w:rsid w:val="006C361D"/>
    <w:rsid w:val="006C3709"/>
    <w:rsid w:val="006C38B0"/>
    <w:rsid w:val="006C4638"/>
    <w:rsid w:val="006C4A24"/>
    <w:rsid w:val="006C4C75"/>
    <w:rsid w:val="006C68E7"/>
    <w:rsid w:val="006C7465"/>
    <w:rsid w:val="006D01D2"/>
    <w:rsid w:val="006D16C8"/>
    <w:rsid w:val="006D1783"/>
    <w:rsid w:val="006D28CB"/>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68C"/>
    <w:rsid w:val="00700DCB"/>
    <w:rsid w:val="00701D5B"/>
    <w:rsid w:val="0070398C"/>
    <w:rsid w:val="00703B66"/>
    <w:rsid w:val="00704172"/>
    <w:rsid w:val="00704C72"/>
    <w:rsid w:val="007056A0"/>
    <w:rsid w:val="00705766"/>
    <w:rsid w:val="007058C5"/>
    <w:rsid w:val="00705BC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20251"/>
    <w:rsid w:val="007203B0"/>
    <w:rsid w:val="00721AC4"/>
    <w:rsid w:val="00722AEE"/>
    <w:rsid w:val="00722DDC"/>
    <w:rsid w:val="00722F4A"/>
    <w:rsid w:val="007237BD"/>
    <w:rsid w:val="007241D5"/>
    <w:rsid w:val="007245E6"/>
    <w:rsid w:val="0072607D"/>
    <w:rsid w:val="00727EBB"/>
    <w:rsid w:val="00730AF7"/>
    <w:rsid w:val="00731A17"/>
    <w:rsid w:val="00731DBD"/>
    <w:rsid w:val="00732641"/>
    <w:rsid w:val="00732B66"/>
    <w:rsid w:val="0073342B"/>
    <w:rsid w:val="00733642"/>
    <w:rsid w:val="00733EAD"/>
    <w:rsid w:val="007364F1"/>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693"/>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406A"/>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3C9"/>
    <w:rsid w:val="00794541"/>
    <w:rsid w:val="00794787"/>
    <w:rsid w:val="00794E1A"/>
    <w:rsid w:val="00795090"/>
    <w:rsid w:val="00795EE6"/>
    <w:rsid w:val="0079640F"/>
    <w:rsid w:val="00796F69"/>
    <w:rsid w:val="00797BAB"/>
    <w:rsid w:val="007A09CE"/>
    <w:rsid w:val="007A231C"/>
    <w:rsid w:val="007A2CDF"/>
    <w:rsid w:val="007A35A8"/>
    <w:rsid w:val="007A51E1"/>
    <w:rsid w:val="007A6CF4"/>
    <w:rsid w:val="007A74BC"/>
    <w:rsid w:val="007B06FE"/>
    <w:rsid w:val="007B0E42"/>
    <w:rsid w:val="007B10D6"/>
    <w:rsid w:val="007B1412"/>
    <w:rsid w:val="007B3496"/>
    <w:rsid w:val="007B3BF6"/>
    <w:rsid w:val="007B7255"/>
    <w:rsid w:val="007C0CEE"/>
    <w:rsid w:val="007C18A0"/>
    <w:rsid w:val="007C2AAC"/>
    <w:rsid w:val="007C3397"/>
    <w:rsid w:val="007C3522"/>
    <w:rsid w:val="007C4D69"/>
    <w:rsid w:val="007C4E44"/>
    <w:rsid w:val="007C53B1"/>
    <w:rsid w:val="007C5C27"/>
    <w:rsid w:val="007C6D13"/>
    <w:rsid w:val="007C773C"/>
    <w:rsid w:val="007D07C7"/>
    <w:rsid w:val="007D207A"/>
    <w:rsid w:val="007D2864"/>
    <w:rsid w:val="007D2AEC"/>
    <w:rsid w:val="007D392A"/>
    <w:rsid w:val="007D48E4"/>
    <w:rsid w:val="007D4DB9"/>
    <w:rsid w:val="007D5268"/>
    <w:rsid w:val="007D5399"/>
    <w:rsid w:val="007D6BCC"/>
    <w:rsid w:val="007D6E98"/>
    <w:rsid w:val="007D754B"/>
    <w:rsid w:val="007E09C5"/>
    <w:rsid w:val="007E2012"/>
    <w:rsid w:val="007E2F02"/>
    <w:rsid w:val="007E5762"/>
    <w:rsid w:val="007E5CF7"/>
    <w:rsid w:val="007E63B0"/>
    <w:rsid w:val="007F12F9"/>
    <w:rsid w:val="007F2001"/>
    <w:rsid w:val="007F23B4"/>
    <w:rsid w:val="007F3CF2"/>
    <w:rsid w:val="007F4CE9"/>
    <w:rsid w:val="007F5C32"/>
    <w:rsid w:val="007F64C5"/>
    <w:rsid w:val="00800346"/>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011"/>
    <w:rsid w:val="00822413"/>
    <w:rsid w:val="008233B3"/>
    <w:rsid w:val="008243D6"/>
    <w:rsid w:val="0082459F"/>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07A6"/>
    <w:rsid w:val="00840B16"/>
    <w:rsid w:val="00841603"/>
    <w:rsid w:val="0084208B"/>
    <w:rsid w:val="00844293"/>
    <w:rsid w:val="008449B3"/>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2B1"/>
    <w:rsid w:val="00857C92"/>
    <w:rsid w:val="00860CBA"/>
    <w:rsid w:val="008610F9"/>
    <w:rsid w:val="0086125F"/>
    <w:rsid w:val="00861331"/>
    <w:rsid w:val="008631DC"/>
    <w:rsid w:val="008637BC"/>
    <w:rsid w:val="008641A8"/>
    <w:rsid w:val="0086455C"/>
    <w:rsid w:val="0086460B"/>
    <w:rsid w:val="0086540C"/>
    <w:rsid w:val="00866591"/>
    <w:rsid w:val="00867667"/>
    <w:rsid w:val="008703A3"/>
    <w:rsid w:val="008703BA"/>
    <w:rsid w:val="00870C8F"/>
    <w:rsid w:val="0087157E"/>
    <w:rsid w:val="00872429"/>
    <w:rsid w:val="00873126"/>
    <w:rsid w:val="0087364E"/>
    <w:rsid w:val="008742C8"/>
    <w:rsid w:val="00874377"/>
    <w:rsid w:val="008743F6"/>
    <w:rsid w:val="0087445A"/>
    <w:rsid w:val="008754E7"/>
    <w:rsid w:val="008779C4"/>
    <w:rsid w:val="00877A05"/>
    <w:rsid w:val="00880211"/>
    <w:rsid w:val="00880FE8"/>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D09"/>
    <w:rsid w:val="008924D8"/>
    <w:rsid w:val="0089313F"/>
    <w:rsid w:val="0089419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2524"/>
    <w:rsid w:val="008B2D5C"/>
    <w:rsid w:val="008B3CD4"/>
    <w:rsid w:val="008B4C60"/>
    <w:rsid w:val="008B5D32"/>
    <w:rsid w:val="008B656A"/>
    <w:rsid w:val="008B7111"/>
    <w:rsid w:val="008B712C"/>
    <w:rsid w:val="008B7244"/>
    <w:rsid w:val="008B79BA"/>
    <w:rsid w:val="008C0161"/>
    <w:rsid w:val="008C0168"/>
    <w:rsid w:val="008C0B9B"/>
    <w:rsid w:val="008C26B4"/>
    <w:rsid w:val="008C2D47"/>
    <w:rsid w:val="008C2DD1"/>
    <w:rsid w:val="008C2E67"/>
    <w:rsid w:val="008C3D54"/>
    <w:rsid w:val="008C4603"/>
    <w:rsid w:val="008C47A8"/>
    <w:rsid w:val="008C48E2"/>
    <w:rsid w:val="008C5B72"/>
    <w:rsid w:val="008C5F7E"/>
    <w:rsid w:val="008C7F41"/>
    <w:rsid w:val="008D02B8"/>
    <w:rsid w:val="008D0D29"/>
    <w:rsid w:val="008D230A"/>
    <w:rsid w:val="008D4BA7"/>
    <w:rsid w:val="008D52AF"/>
    <w:rsid w:val="008D5493"/>
    <w:rsid w:val="008D610B"/>
    <w:rsid w:val="008D731B"/>
    <w:rsid w:val="008D73AE"/>
    <w:rsid w:val="008D7EAC"/>
    <w:rsid w:val="008E0514"/>
    <w:rsid w:val="008E262A"/>
    <w:rsid w:val="008E29E9"/>
    <w:rsid w:val="008E3301"/>
    <w:rsid w:val="008E3937"/>
    <w:rsid w:val="008E3F39"/>
    <w:rsid w:val="008E4C85"/>
    <w:rsid w:val="008E528C"/>
    <w:rsid w:val="008E6DEF"/>
    <w:rsid w:val="008F02D0"/>
    <w:rsid w:val="008F084E"/>
    <w:rsid w:val="008F1DE5"/>
    <w:rsid w:val="008F30EB"/>
    <w:rsid w:val="008F39D9"/>
    <w:rsid w:val="008F51EC"/>
    <w:rsid w:val="008F51FF"/>
    <w:rsid w:val="008F527C"/>
    <w:rsid w:val="008F5757"/>
    <w:rsid w:val="008F62A6"/>
    <w:rsid w:val="008F6ACD"/>
    <w:rsid w:val="00900834"/>
    <w:rsid w:val="0090198E"/>
    <w:rsid w:val="0090263C"/>
    <w:rsid w:val="00902E38"/>
    <w:rsid w:val="009036BC"/>
    <w:rsid w:val="009036F8"/>
    <w:rsid w:val="00903FD1"/>
    <w:rsid w:val="0090401D"/>
    <w:rsid w:val="0090696E"/>
    <w:rsid w:val="00906E18"/>
    <w:rsid w:val="00907C88"/>
    <w:rsid w:val="00907D97"/>
    <w:rsid w:val="00907E7C"/>
    <w:rsid w:val="00910043"/>
    <w:rsid w:val="00910860"/>
    <w:rsid w:val="0091237C"/>
    <w:rsid w:val="00912787"/>
    <w:rsid w:val="00914026"/>
    <w:rsid w:val="00914FB2"/>
    <w:rsid w:val="00915215"/>
    <w:rsid w:val="00915408"/>
    <w:rsid w:val="0091540C"/>
    <w:rsid w:val="00916E31"/>
    <w:rsid w:val="00920050"/>
    <w:rsid w:val="009201EC"/>
    <w:rsid w:val="00920346"/>
    <w:rsid w:val="00920C9D"/>
    <w:rsid w:val="00921CCB"/>
    <w:rsid w:val="009224B6"/>
    <w:rsid w:val="00922A05"/>
    <w:rsid w:val="00922FEE"/>
    <w:rsid w:val="0092415E"/>
    <w:rsid w:val="009241DD"/>
    <w:rsid w:val="00924812"/>
    <w:rsid w:val="0092595C"/>
    <w:rsid w:val="009259B5"/>
    <w:rsid w:val="00926396"/>
    <w:rsid w:val="00926742"/>
    <w:rsid w:val="00927E17"/>
    <w:rsid w:val="00930890"/>
    <w:rsid w:val="00930ED8"/>
    <w:rsid w:val="00931A93"/>
    <w:rsid w:val="009351E4"/>
    <w:rsid w:val="00937576"/>
    <w:rsid w:val="00937E34"/>
    <w:rsid w:val="0094072A"/>
    <w:rsid w:val="00941952"/>
    <w:rsid w:val="00941D3C"/>
    <w:rsid w:val="00942534"/>
    <w:rsid w:val="00943F72"/>
    <w:rsid w:val="00944280"/>
    <w:rsid w:val="0094447B"/>
    <w:rsid w:val="00944C7A"/>
    <w:rsid w:val="00945558"/>
    <w:rsid w:val="00946176"/>
    <w:rsid w:val="009469FA"/>
    <w:rsid w:val="00947492"/>
    <w:rsid w:val="00947E6C"/>
    <w:rsid w:val="00947F57"/>
    <w:rsid w:val="00951BE9"/>
    <w:rsid w:val="009529AE"/>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94D"/>
    <w:rsid w:val="00977179"/>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EE0"/>
    <w:rsid w:val="009A0AEB"/>
    <w:rsid w:val="009A111D"/>
    <w:rsid w:val="009A2426"/>
    <w:rsid w:val="009A2A39"/>
    <w:rsid w:val="009A2CF2"/>
    <w:rsid w:val="009A3069"/>
    <w:rsid w:val="009A3D1E"/>
    <w:rsid w:val="009A430B"/>
    <w:rsid w:val="009A4A69"/>
    <w:rsid w:val="009A5967"/>
    <w:rsid w:val="009A686A"/>
    <w:rsid w:val="009A7E84"/>
    <w:rsid w:val="009B0BA0"/>
    <w:rsid w:val="009B14E4"/>
    <w:rsid w:val="009B16FB"/>
    <w:rsid w:val="009B1972"/>
    <w:rsid w:val="009B24DF"/>
    <w:rsid w:val="009B3A45"/>
    <w:rsid w:val="009B40D3"/>
    <w:rsid w:val="009B44CA"/>
    <w:rsid w:val="009B53AD"/>
    <w:rsid w:val="009B5A4C"/>
    <w:rsid w:val="009B7E60"/>
    <w:rsid w:val="009C20C4"/>
    <w:rsid w:val="009C3441"/>
    <w:rsid w:val="009C3BBC"/>
    <w:rsid w:val="009C502F"/>
    <w:rsid w:val="009C5B0F"/>
    <w:rsid w:val="009C5BD7"/>
    <w:rsid w:val="009C614E"/>
    <w:rsid w:val="009C67BF"/>
    <w:rsid w:val="009D014F"/>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5383"/>
    <w:rsid w:val="009E6581"/>
    <w:rsid w:val="009E76DA"/>
    <w:rsid w:val="009E78A6"/>
    <w:rsid w:val="009F0384"/>
    <w:rsid w:val="009F041C"/>
    <w:rsid w:val="009F0CCC"/>
    <w:rsid w:val="009F13EA"/>
    <w:rsid w:val="009F1B28"/>
    <w:rsid w:val="009F274C"/>
    <w:rsid w:val="009F3119"/>
    <w:rsid w:val="009F39A2"/>
    <w:rsid w:val="009F3BF5"/>
    <w:rsid w:val="009F4575"/>
    <w:rsid w:val="009F5C0A"/>
    <w:rsid w:val="009F72EC"/>
    <w:rsid w:val="00A00FF6"/>
    <w:rsid w:val="00A042D6"/>
    <w:rsid w:val="00A050CE"/>
    <w:rsid w:val="00A06BC7"/>
    <w:rsid w:val="00A1020D"/>
    <w:rsid w:val="00A106F1"/>
    <w:rsid w:val="00A11286"/>
    <w:rsid w:val="00A12A98"/>
    <w:rsid w:val="00A12C52"/>
    <w:rsid w:val="00A12D80"/>
    <w:rsid w:val="00A130F5"/>
    <w:rsid w:val="00A13812"/>
    <w:rsid w:val="00A1388B"/>
    <w:rsid w:val="00A14C57"/>
    <w:rsid w:val="00A15428"/>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C61"/>
    <w:rsid w:val="00A56DDD"/>
    <w:rsid w:val="00A570BA"/>
    <w:rsid w:val="00A60125"/>
    <w:rsid w:val="00A60A91"/>
    <w:rsid w:val="00A61F62"/>
    <w:rsid w:val="00A62A0D"/>
    <w:rsid w:val="00A63793"/>
    <w:rsid w:val="00A63FC7"/>
    <w:rsid w:val="00A646A9"/>
    <w:rsid w:val="00A64B88"/>
    <w:rsid w:val="00A64E55"/>
    <w:rsid w:val="00A65047"/>
    <w:rsid w:val="00A65430"/>
    <w:rsid w:val="00A658D8"/>
    <w:rsid w:val="00A65BAA"/>
    <w:rsid w:val="00A66C12"/>
    <w:rsid w:val="00A66E58"/>
    <w:rsid w:val="00A66EEF"/>
    <w:rsid w:val="00A67AE9"/>
    <w:rsid w:val="00A7011D"/>
    <w:rsid w:val="00A703EF"/>
    <w:rsid w:val="00A706D3"/>
    <w:rsid w:val="00A70C03"/>
    <w:rsid w:val="00A70EE3"/>
    <w:rsid w:val="00A70FF1"/>
    <w:rsid w:val="00A710C3"/>
    <w:rsid w:val="00A71203"/>
    <w:rsid w:val="00A7176E"/>
    <w:rsid w:val="00A71C58"/>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A7EE6"/>
    <w:rsid w:val="00AB065D"/>
    <w:rsid w:val="00AB0D38"/>
    <w:rsid w:val="00AB2209"/>
    <w:rsid w:val="00AB274D"/>
    <w:rsid w:val="00AB3CB6"/>
    <w:rsid w:val="00AB3E2F"/>
    <w:rsid w:val="00AB47C4"/>
    <w:rsid w:val="00AB4885"/>
    <w:rsid w:val="00AB4BCD"/>
    <w:rsid w:val="00AB4D72"/>
    <w:rsid w:val="00AB4F21"/>
    <w:rsid w:val="00AB5593"/>
    <w:rsid w:val="00AB5CBE"/>
    <w:rsid w:val="00AB64A5"/>
    <w:rsid w:val="00AB7380"/>
    <w:rsid w:val="00AB78D4"/>
    <w:rsid w:val="00AC1958"/>
    <w:rsid w:val="00AC1C93"/>
    <w:rsid w:val="00AC290E"/>
    <w:rsid w:val="00AC396F"/>
    <w:rsid w:val="00AC39AE"/>
    <w:rsid w:val="00AC4395"/>
    <w:rsid w:val="00AC4B48"/>
    <w:rsid w:val="00AC6266"/>
    <w:rsid w:val="00AC65C2"/>
    <w:rsid w:val="00AC769A"/>
    <w:rsid w:val="00AC7B36"/>
    <w:rsid w:val="00AC7B50"/>
    <w:rsid w:val="00AD073B"/>
    <w:rsid w:val="00AD0EA5"/>
    <w:rsid w:val="00AD1A4F"/>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760A"/>
    <w:rsid w:val="00AE783B"/>
    <w:rsid w:val="00AE7FE6"/>
    <w:rsid w:val="00AF0363"/>
    <w:rsid w:val="00AF0C23"/>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F33"/>
    <w:rsid w:val="00B01FDA"/>
    <w:rsid w:val="00B02874"/>
    <w:rsid w:val="00B03406"/>
    <w:rsid w:val="00B0386B"/>
    <w:rsid w:val="00B04419"/>
    <w:rsid w:val="00B05533"/>
    <w:rsid w:val="00B057B9"/>
    <w:rsid w:val="00B0781F"/>
    <w:rsid w:val="00B07BCF"/>
    <w:rsid w:val="00B11CD4"/>
    <w:rsid w:val="00B11D55"/>
    <w:rsid w:val="00B12130"/>
    <w:rsid w:val="00B122B9"/>
    <w:rsid w:val="00B122F0"/>
    <w:rsid w:val="00B12BB0"/>
    <w:rsid w:val="00B12E8A"/>
    <w:rsid w:val="00B13465"/>
    <w:rsid w:val="00B137BA"/>
    <w:rsid w:val="00B13A7B"/>
    <w:rsid w:val="00B14159"/>
    <w:rsid w:val="00B14196"/>
    <w:rsid w:val="00B144CB"/>
    <w:rsid w:val="00B14735"/>
    <w:rsid w:val="00B16461"/>
    <w:rsid w:val="00B16D35"/>
    <w:rsid w:val="00B176CF"/>
    <w:rsid w:val="00B177AD"/>
    <w:rsid w:val="00B20159"/>
    <w:rsid w:val="00B20CA6"/>
    <w:rsid w:val="00B22766"/>
    <w:rsid w:val="00B22919"/>
    <w:rsid w:val="00B22B6B"/>
    <w:rsid w:val="00B2337B"/>
    <w:rsid w:val="00B24D8F"/>
    <w:rsid w:val="00B25753"/>
    <w:rsid w:val="00B30319"/>
    <w:rsid w:val="00B30EAC"/>
    <w:rsid w:val="00B3132D"/>
    <w:rsid w:val="00B320A1"/>
    <w:rsid w:val="00B32B5D"/>
    <w:rsid w:val="00B33475"/>
    <w:rsid w:val="00B335C3"/>
    <w:rsid w:val="00B34AC5"/>
    <w:rsid w:val="00B353FB"/>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1F9"/>
    <w:rsid w:val="00B53309"/>
    <w:rsid w:val="00B544A1"/>
    <w:rsid w:val="00B54694"/>
    <w:rsid w:val="00B54A54"/>
    <w:rsid w:val="00B55714"/>
    <w:rsid w:val="00B5770A"/>
    <w:rsid w:val="00B6017C"/>
    <w:rsid w:val="00B60182"/>
    <w:rsid w:val="00B60744"/>
    <w:rsid w:val="00B60999"/>
    <w:rsid w:val="00B6102F"/>
    <w:rsid w:val="00B627F3"/>
    <w:rsid w:val="00B62EAD"/>
    <w:rsid w:val="00B634B6"/>
    <w:rsid w:val="00B6372F"/>
    <w:rsid w:val="00B640DF"/>
    <w:rsid w:val="00B647D5"/>
    <w:rsid w:val="00B65BDE"/>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8039F"/>
    <w:rsid w:val="00B811DC"/>
    <w:rsid w:val="00B81D19"/>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558B"/>
    <w:rsid w:val="00BA5CBE"/>
    <w:rsid w:val="00BA62F4"/>
    <w:rsid w:val="00BA6CF4"/>
    <w:rsid w:val="00BA7EC1"/>
    <w:rsid w:val="00BB2D2E"/>
    <w:rsid w:val="00BB3755"/>
    <w:rsid w:val="00BB4462"/>
    <w:rsid w:val="00BB44AF"/>
    <w:rsid w:val="00BB54B2"/>
    <w:rsid w:val="00BB72A1"/>
    <w:rsid w:val="00BB7701"/>
    <w:rsid w:val="00BB7BD5"/>
    <w:rsid w:val="00BB7C82"/>
    <w:rsid w:val="00BC0366"/>
    <w:rsid w:val="00BC0929"/>
    <w:rsid w:val="00BC16E6"/>
    <w:rsid w:val="00BC1B0C"/>
    <w:rsid w:val="00BC30C4"/>
    <w:rsid w:val="00BC5393"/>
    <w:rsid w:val="00BC540A"/>
    <w:rsid w:val="00BC61C9"/>
    <w:rsid w:val="00BC63A5"/>
    <w:rsid w:val="00BC7E19"/>
    <w:rsid w:val="00BD2D6D"/>
    <w:rsid w:val="00BD32DC"/>
    <w:rsid w:val="00BD44EB"/>
    <w:rsid w:val="00BD53B2"/>
    <w:rsid w:val="00BD6F1C"/>
    <w:rsid w:val="00BD70A1"/>
    <w:rsid w:val="00BD7A6D"/>
    <w:rsid w:val="00BE22C2"/>
    <w:rsid w:val="00BE37C3"/>
    <w:rsid w:val="00BE43ED"/>
    <w:rsid w:val="00BE579B"/>
    <w:rsid w:val="00BE59F3"/>
    <w:rsid w:val="00BE5D95"/>
    <w:rsid w:val="00BE6D06"/>
    <w:rsid w:val="00BE7892"/>
    <w:rsid w:val="00BF33DF"/>
    <w:rsid w:val="00BF4816"/>
    <w:rsid w:val="00BF4D46"/>
    <w:rsid w:val="00BF5C80"/>
    <w:rsid w:val="00BF78EC"/>
    <w:rsid w:val="00BF7FC3"/>
    <w:rsid w:val="00C00792"/>
    <w:rsid w:val="00C02590"/>
    <w:rsid w:val="00C03B69"/>
    <w:rsid w:val="00C03C64"/>
    <w:rsid w:val="00C04E5C"/>
    <w:rsid w:val="00C05655"/>
    <w:rsid w:val="00C0630F"/>
    <w:rsid w:val="00C067F6"/>
    <w:rsid w:val="00C068BF"/>
    <w:rsid w:val="00C072F3"/>
    <w:rsid w:val="00C07E78"/>
    <w:rsid w:val="00C106AC"/>
    <w:rsid w:val="00C1072D"/>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7DBF"/>
    <w:rsid w:val="00C303E7"/>
    <w:rsid w:val="00C307E0"/>
    <w:rsid w:val="00C31417"/>
    <w:rsid w:val="00C31420"/>
    <w:rsid w:val="00C322C3"/>
    <w:rsid w:val="00C3295F"/>
    <w:rsid w:val="00C3313E"/>
    <w:rsid w:val="00C331D8"/>
    <w:rsid w:val="00C331EC"/>
    <w:rsid w:val="00C33BE3"/>
    <w:rsid w:val="00C34CBB"/>
    <w:rsid w:val="00C35C0E"/>
    <w:rsid w:val="00C36B79"/>
    <w:rsid w:val="00C3718D"/>
    <w:rsid w:val="00C37B9E"/>
    <w:rsid w:val="00C402CA"/>
    <w:rsid w:val="00C41BB0"/>
    <w:rsid w:val="00C4340C"/>
    <w:rsid w:val="00C43932"/>
    <w:rsid w:val="00C43AC6"/>
    <w:rsid w:val="00C43C0B"/>
    <w:rsid w:val="00C44126"/>
    <w:rsid w:val="00C44C2D"/>
    <w:rsid w:val="00C453F4"/>
    <w:rsid w:val="00C464BA"/>
    <w:rsid w:val="00C471B7"/>
    <w:rsid w:val="00C47256"/>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4E8D"/>
    <w:rsid w:val="00C65CD7"/>
    <w:rsid w:val="00C670F5"/>
    <w:rsid w:val="00C67833"/>
    <w:rsid w:val="00C71917"/>
    <w:rsid w:val="00C7233D"/>
    <w:rsid w:val="00C72D41"/>
    <w:rsid w:val="00C7325B"/>
    <w:rsid w:val="00C73FE9"/>
    <w:rsid w:val="00C76C5F"/>
    <w:rsid w:val="00C81BCC"/>
    <w:rsid w:val="00C82053"/>
    <w:rsid w:val="00C825DA"/>
    <w:rsid w:val="00C82BC6"/>
    <w:rsid w:val="00C82E7B"/>
    <w:rsid w:val="00C82F57"/>
    <w:rsid w:val="00C8331C"/>
    <w:rsid w:val="00C84641"/>
    <w:rsid w:val="00C84D2C"/>
    <w:rsid w:val="00C84F8B"/>
    <w:rsid w:val="00C85095"/>
    <w:rsid w:val="00C85E8D"/>
    <w:rsid w:val="00C85FB0"/>
    <w:rsid w:val="00C86A70"/>
    <w:rsid w:val="00C86CF4"/>
    <w:rsid w:val="00C87402"/>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B46"/>
    <w:rsid w:val="00CA5F55"/>
    <w:rsid w:val="00CA6815"/>
    <w:rsid w:val="00CB02FB"/>
    <w:rsid w:val="00CB0C74"/>
    <w:rsid w:val="00CB141B"/>
    <w:rsid w:val="00CB1C40"/>
    <w:rsid w:val="00CB1C93"/>
    <w:rsid w:val="00CB3DE8"/>
    <w:rsid w:val="00CB453F"/>
    <w:rsid w:val="00CB4AB1"/>
    <w:rsid w:val="00CB5865"/>
    <w:rsid w:val="00CB6416"/>
    <w:rsid w:val="00CB64D5"/>
    <w:rsid w:val="00CB785C"/>
    <w:rsid w:val="00CB7A58"/>
    <w:rsid w:val="00CC07EB"/>
    <w:rsid w:val="00CC1515"/>
    <w:rsid w:val="00CC2ECF"/>
    <w:rsid w:val="00CC3261"/>
    <w:rsid w:val="00CC4DBA"/>
    <w:rsid w:val="00CC5082"/>
    <w:rsid w:val="00CC50EA"/>
    <w:rsid w:val="00CC5DF8"/>
    <w:rsid w:val="00CC604B"/>
    <w:rsid w:val="00CC6B81"/>
    <w:rsid w:val="00CC730B"/>
    <w:rsid w:val="00CD0333"/>
    <w:rsid w:val="00CD0E90"/>
    <w:rsid w:val="00CD0EF4"/>
    <w:rsid w:val="00CD1917"/>
    <w:rsid w:val="00CD2AAF"/>
    <w:rsid w:val="00CD3989"/>
    <w:rsid w:val="00CD39F3"/>
    <w:rsid w:val="00CD3F87"/>
    <w:rsid w:val="00CD515A"/>
    <w:rsid w:val="00CD6209"/>
    <w:rsid w:val="00CD6370"/>
    <w:rsid w:val="00CD6DBA"/>
    <w:rsid w:val="00CE037F"/>
    <w:rsid w:val="00CE08FD"/>
    <w:rsid w:val="00CE14ED"/>
    <w:rsid w:val="00CE2F13"/>
    <w:rsid w:val="00CE5747"/>
    <w:rsid w:val="00CE578D"/>
    <w:rsid w:val="00CF08EE"/>
    <w:rsid w:val="00CF1241"/>
    <w:rsid w:val="00CF33AA"/>
    <w:rsid w:val="00CF39B5"/>
    <w:rsid w:val="00CF429D"/>
    <w:rsid w:val="00CF51AA"/>
    <w:rsid w:val="00CF579B"/>
    <w:rsid w:val="00CF65E9"/>
    <w:rsid w:val="00CF76FD"/>
    <w:rsid w:val="00D006C5"/>
    <w:rsid w:val="00D00DB6"/>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34AD5"/>
    <w:rsid w:val="00D3591F"/>
    <w:rsid w:val="00D36919"/>
    <w:rsid w:val="00D37527"/>
    <w:rsid w:val="00D37BDF"/>
    <w:rsid w:val="00D415D5"/>
    <w:rsid w:val="00D453B3"/>
    <w:rsid w:val="00D458A3"/>
    <w:rsid w:val="00D466E0"/>
    <w:rsid w:val="00D47A15"/>
    <w:rsid w:val="00D47CA5"/>
    <w:rsid w:val="00D47CE2"/>
    <w:rsid w:val="00D47D00"/>
    <w:rsid w:val="00D50637"/>
    <w:rsid w:val="00D5164C"/>
    <w:rsid w:val="00D51DE4"/>
    <w:rsid w:val="00D520ED"/>
    <w:rsid w:val="00D546B6"/>
    <w:rsid w:val="00D54710"/>
    <w:rsid w:val="00D54B6D"/>
    <w:rsid w:val="00D55052"/>
    <w:rsid w:val="00D55542"/>
    <w:rsid w:val="00D55743"/>
    <w:rsid w:val="00D56957"/>
    <w:rsid w:val="00D570CF"/>
    <w:rsid w:val="00D57B56"/>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5AAD"/>
    <w:rsid w:val="00D86CD3"/>
    <w:rsid w:val="00D87044"/>
    <w:rsid w:val="00D8749C"/>
    <w:rsid w:val="00D87587"/>
    <w:rsid w:val="00D90B2F"/>
    <w:rsid w:val="00D90D72"/>
    <w:rsid w:val="00D9254A"/>
    <w:rsid w:val="00D925FA"/>
    <w:rsid w:val="00D928E2"/>
    <w:rsid w:val="00D935F8"/>
    <w:rsid w:val="00D93BBB"/>
    <w:rsid w:val="00D948E5"/>
    <w:rsid w:val="00D94953"/>
    <w:rsid w:val="00D9518D"/>
    <w:rsid w:val="00D9573F"/>
    <w:rsid w:val="00D961B5"/>
    <w:rsid w:val="00D961E2"/>
    <w:rsid w:val="00D9628D"/>
    <w:rsid w:val="00D966A6"/>
    <w:rsid w:val="00D97162"/>
    <w:rsid w:val="00D974C5"/>
    <w:rsid w:val="00DA325A"/>
    <w:rsid w:val="00DA3595"/>
    <w:rsid w:val="00DA35A6"/>
    <w:rsid w:val="00DA3961"/>
    <w:rsid w:val="00DA405A"/>
    <w:rsid w:val="00DA6D1F"/>
    <w:rsid w:val="00DA6EE0"/>
    <w:rsid w:val="00DA76AA"/>
    <w:rsid w:val="00DB0F97"/>
    <w:rsid w:val="00DB184C"/>
    <w:rsid w:val="00DB2605"/>
    <w:rsid w:val="00DB29FB"/>
    <w:rsid w:val="00DB2DD0"/>
    <w:rsid w:val="00DB3595"/>
    <w:rsid w:val="00DB46C6"/>
    <w:rsid w:val="00DB4A1B"/>
    <w:rsid w:val="00DB4B7F"/>
    <w:rsid w:val="00DB4D55"/>
    <w:rsid w:val="00DB667F"/>
    <w:rsid w:val="00DB736F"/>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9FD"/>
    <w:rsid w:val="00DD0C49"/>
    <w:rsid w:val="00DD0F79"/>
    <w:rsid w:val="00DD1713"/>
    <w:rsid w:val="00DD26F2"/>
    <w:rsid w:val="00DD57C1"/>
    <w:rsid w:val="00DD5A08"/>
    <w:rsid w:val="00DD6D54"/>
    <w:rsid w:val="00DD79D4"/>
    <w:rsid w:val="00DE0B03"/>
    <w:rsid w:val="00DE165F"/>
    <w:rsid w:val="00DE3AAD"/>
    <w:rsid w:val="00DE3B5D"/>
    <w:rsid w:val="00DE3F61"/>
    <w:rsid w:val="00DE42E9"/>
    <w:rsid w:val="00DE502E"/>
    <w:rsid w:val="00DE5E1F"/>
    <w:rsid w:val="00DE6779"/>
    <w:rsid w:val="00DE7CA8"/>
    <w:rsid w:val="00DE7D53"/>
    <w:rsid w:val="00DF101C"/>
    <w:rsid w:val="00DF1642"/>
    <w:rsid w:val="00DF298B"/>
    <w:rsid w:val="00DF2B35"/>
    <w:rsid w:val="00DF2B36"/>
    <w:rsid w:val="00DF3A55"/>
    <w:rsid w:val="00DF42BC"/>
    <w:rsid w:val="00DF52B7"/>
    <w:rsid w:val="00E0010E"/>
    <w:rsid w:val="00E005A2"/>
    <w:rsid w:val="00E0141E"/>
    <w:rsid w:val="00E02B9B"/>
    <w:rsid w:val="00E02D64"/>
    <w:rsid w:val="00E033A0"/>
    <w:rsid w:val="00E034BE"/>
    <w:rsid w:val="00E03568"/>
    <w:rsid w:val="00E03CF3"/>
    <w:rsid w:val="00E04172"/>
    <w:rsid w:val="00E04E74"/>
    <w:rsid w:val="00E0564D"/>
    <w:rsid w:val="00E069E3"/>
    <w:rsid w:val="00E06D70"/>
    <w:rsid w:val="00E077E2"/>
    <w:rsid w:val="00E12145"/>
    <w:rsid w:val="00E121B1"/>
    <w:rsid w:val="00E13488"/>
    <w:rsid w:val="00E14075"/>
    <w:rsid w:val="00E1459E"/>
    <w:rsid w:val="00E157AE"/>
    <w:rsid w:val="00E160C1"/>
    <w:rsid w:val="00E16986"/>
    <w:rsid w:val="00E16B7D"/>
    <w:rsid w:val="00E16BAD"/>
    <w:rsid w:val="00E20864"/>
    <w:rsid w:val="00E20E80"/>
    <w:rsid w:val="00E2127E"/>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A79"/>
    <w:rsid w:val="00E35B2C"/>
    <w:rsid w:val="00E37048"/>
    <w:rsid w:val="00E40580"/>
    <w:rsid w:val="00E40A42"/>
    <w:rsid w:val="00E40E02"/>
    <w:rsid w:val="00E453A2"/>
    <w:rsid w:val="00E45D06"/>
    <w:rsid w:val="00E474C5"/>
    <w:rsid w:val="00E47B70"/>
    <w:rsid w:val="00E5068E"/>
    <w:rsid w:val="00E50F80"/>
    <w:rsid w:val="00E524C6"/>
    <w:rsid w:val="00E53CFD"/>
    <w:rsid w:val="00E545BD"/>
    <w:rsid w:val="00E547D6"/>
    <w:rsid w:val="00E54890"/>
    <w:rsid w:val="00E56416"/>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7042"/>
    <w:rsid w:val="00E873B9"/>
    <w:rsid w:val="00E9024E"/>
    <w:rsid w:val="00E90368"/>
    <w:rsid w:val="00E91272"/>
    <w:rsid w:val="00E93459"/>
    <w:rsid w:val="00E9357C"/>
    <w:rsid w:val="00E93DF8"/>
    <w:rsid w:val="00E9458B"/>
    <w:rsid w:val="00E9500F"/>
    <w:rsid w:val="00E9512C"/>
    <w:rsid w:val="00E95A08"/>
    <w:rsid w:val="00E95D86"/>
    <w:rsid w:val="00E9668D"/>
    <w:rsid w:val="00E96981"/>
    <w:rsid w:val="00EA2438"/>
    <w:rsid w:val="00EA24A6"/>
    <w:rsid w:val="00EA34D5"/>
    <w:rsid w:val="00EA4743"/>
    <w:rsid w:val="00EA49A8"/>
    <w:rsid w:val="00EA56C4"/>
    <w:rsid w:val="00EA6316"/>
    <w:rsid w:val="00EA6662"/>
    <w:rsid w:val="00EA6C83"/>
    <w:rsid w:val="00EA6F6B"/>
    <w:rsid w:val="00EA72DA"/>
    <w:rsid w:val="00EA77D9"/>
    <w:rsid w:val="00EA78FF"/>
    <w:rsid w:val="00EB0301"/>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DB3"/>
    <w:rsid w:val="00EC1615"/>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A8C"/>
    <w:rsid w:val="00EE77AF"/>
    <w:rsid w:val="00EF098A"/>
    <w:rsid w:val="00EF19C9"/>
    <w:rsid w:val="00EF22D3"/>
    <w:rsid w:val="00EF48D1"/>
    <w:rsid w:val="00EF4B91"/>
    <w:rsid w:val="00EF4D6F"/>
    <w:rsid w:val="00EF555D"/>
    <w:rsid w:val="00EF59AB"/>
    <w:rsid w:val="00F000B0"/>
    <w:rsid w:val="00F01674"/>
    <w:rsid w:val="00F02CB2"/>
    <w:rsid w:val="00F02EF1"/>
    <w:rsid w:val="00F065BD"/>
    <w:rsid w:val="00F066DF"/>
    <w:rsid w:val="00F06EB0"/>
    <w:rsid w:val="00F07301"/>
    <w:rsid w:val="00F07335"/>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256C"/>
    <w:rsid w:val="00F22E87"/>
    <w:rsid w:val="00F23227"/>
    <w:rsid w:val="00F258CC"/>
    <w:rsid w:val="00F25E5B"/>
    <w:rsid w:val="00F264E3"/>
    <w:rsid w:val="00F26BFC"/>
    <w:rsid w:val="00F26FD6"/>
    <w:rsid w:val="00F27A21"/>
    <w:rsid w:val="00F30E11"/>
    <w:rsid w:val="00F31460"/>
    <w:rsid w:val="00F31DB8"/>
    <w:rsid w:val="00F325DD"/>
    <w:rsid w:val="00F32A01"/>
    <w:rsid w:val="00F3359E"/>
    <w:rsid w:val="00F33A9D"/>
    <w:rsid w:val="00F34232"/>
    <w:rsid w:val="00F343A6"/>
    <w:rsid w:val="00F3467F"/>
    <w:rsid w:val="00F353ED"/>
    <w:rsid w:val="00F35FA4"/>
    <w:rsid w:val="00F36280"/>
    <w:rsid w:val="00F40F30"/>
    <w:rsid w:val="00F41926"/>
    <w:rsid w:val="00F41DF5"/>
    <w:rsid w:val="00F42AC9"/>
    <w:rsid w:val="00F443AC"/>
    <w:rsid w:val="00F4537C"/>
    <w:rsid w:val="00F45F9F"/>
    <w:rsid w:val="00F4781E"/>
    <w:rsid w:val="00F50726"/>
    <w:rsid w:val="00F50F57"/>
    <w:rsid w:val="00F51BE9"/>
    <w:rsid w:val="00F52104"/>
    <w:rsid w:val="00F532AE"/>
    <w:rsid w:val="00F5334F"/>
    <w:rsid w:val="00F54B78"/>
    <w:rsid w:val="00F55E85"/>
    <w:rsid w:val="00F5702C"/>
    <w:rsid w:val="00F572CF"/>
    <w:rsid w:val="00F603CF"/>
    <w:rsid w:val="00F6078E"/>
    <w:rsid w:val="00F61805"/>
    <w:rsid w:val="00F61C42"/>
    <w:rsid w:val="00F62350"/>
    <w:rsid w:val="00F62462"/>
    <w:rsid w:val="00F6401B"/>
    <w:rsid w:val="00F64E4D"/>
    <w:rsid w:val="00F65054"/>
    <w:rsid w:val="00F651FB"/>
    <w:rsid w:val="00F655B0"/>
    <w:rsid w:val="00F65628"/>
    <w:rsid w:val="00F66149"/>
    <w:rsid w:val="00F700C1"/>
    <w:rsid w:val="00F703D6"/>
    <w:rsid w:val="00F70A2C"/>
    <w:rsid w:val="00F71498"/>
    <w:rsid w:val="00F743BD"/>
    <w:rsid w:val="00F743EC"/>
    <w:rsid w:val="00F744E2"/>
    <w:rsid w:val="00F747C6"/>
    <w:rsid w:val="00F752C0"/>
    <w:rsid w:val="00F76C36"/>
    <w:rsid w:val="00F76C3B"/>
    <w:rsid w:val="00F76EB3"/>
    <w:rsid w:val="00F775E9"/>
    <w:rsid w:val="00F8195A"/>
    <w:rsid w:val="00F8238C"/>
    <w:rsid w:val="00F8286B"/>
    <w:rsid w:val="00F830E0"/>
    <w:rsid w:val="00F83E45"/>
    <w:rsid w:val="00F853CF"/>
    <w:rsid w:val="00F858AB"/>
    <w:rsid w:val="00F86523"/>
    <w:rsid w:val="00F86BDC"/>
    <w:rsid w:val="00F86CB0"/>
    <w:rsid w:val="00F90222"/>
    <w:rsid w:val="00F91283"/>
    <w:rsid w:val="00F917FD"/>
    <w:rsid w:val="00F92CCD"/>
    <w:rsid w:val="00F939F0"/>
    <w:rsid w:val="00F93E85"/>
    <w:rsid w:val="00F93FE8"/>
    <w:rsid w:val="00F94673"/>
    <w:rsid w:val="00F94CFA"/>
    <w:rsid w:val="00F95503"/>
    <w:rsid w:val="00F955AF"/>
    <w:rsid w:val="00F95BAC"/>
    <w:rsid w:val="00F96B21"/>
    <w:rsid w:val="00F96BD5"/>
    <w:rsid w:val="00FA02E8"/>
    <w:rsid w:val="00FA09CE"/>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E05"/>
    <w:rsid w:val="00FC1F5E"/>
    <w:rsid w:val="00FC258F"/>
    <w:rsid w:val="00FC5348"/>
    <w:rsid w:val="00FC5555"/>
    <w:rsid w:val="00FC62E3"/>
    <w:rsid w:val="00FC7044"/>
    <w:rsid w:val="00FD00F5"/>
    <w:rsid w:val="00FD0951"/>
    <w:rsid w:val="00FD0CFC"/>
    <w:rsid w:val="00FD0F21"/>
    <w:rsid w:val="00FD1200"/>
    <w:rsid w:val="00FD1A0A"/>
    <w:rsid w:val="00FD329B"/>
    <w:rsid w:val="00FD39CF"/>
    <w:rsid w:val="00FD3D82"/>
    <w:rsid w:val="00FD411E"/>
    <w:rsid w:val="00FD42FC"/>
    <w:rsid w:val="00FD4344"/>
    <w:rsid w:val="00FD5FB9"/>
    <w:rsid w:val="00FD65FC"/>
    <w:rsid w:val="00FD664D"/>
    <w:rsid w:val="00FD7FF8"/>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69090-6AC3-43BE-8654-F52A7EE0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4052</Words>
  <Characters>23103</Characters>
  <Application>Microsoft Office Word</Application>
  <DocSecurity>0</DocSecurity>
  <Lines>192</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2021-04-05T16:20:00Z</dcterms:created>
  <dcterms:modified xsi:type="dcterms:W3CDTF">2021-04-05T16:20:00Z</dcterms:modified>
</cp:coreProperties>
</file>